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
        <w:tblW w:w="9322" w:type="dxa"/>
        <w:tblLook w:val="00A0" w:firstRow="1" w:lastRow="0" w:firstColumn="1" w:lastColumn="0" w:noHBand="0" w:noVBand="0"/>
      </w:tblPr>
      <w:tblGrid>
        <w:gridCol w:w="3446"/>
        <w:gridCol w:w="5876"/>
      </w:tblGrid>
      <w:tr w:rsidR="00E60EF1" w:rsidRPr="00E60EF1" w:rsidTr="00E60EF1">
        <w:trPr>
          <w:trHeight w:val="1276"/>
        </w:trPr>
        <w:tc>
          <w:tcPr>
            <w:tcW w:w="3446" w:type="dxa"/>
          </w:tcPr>
          <w:p w:rsidR="00E60EF1" w:rsidRPr="00E60EF1" w:rsidRDefault="00E60EF1" w:rsidP="00E60EF1">
            <w:pPr>
              <w:jc w:val="center"/>
              <w:rPr>
                <w:rFonts w:eastAsia="Calibri"/>
                <w:b/>
                <w:color w:val="000000"/>
                <w:sz w:val="26"/>
              </w:rPr>
            </w:pPr>
            <w:bookmarkStart w:id="0" w:name="_GoBack"/>
            <w:bookmarkEnd w:id="0"/>
            <w:r w:rsidRPr="00E60EF1">
              <w:rPr>
                <w:rFonts w:eastAsia="Calibri"/>
                <w:b/>
                <w:color w:val="000000"/>
                <w:sz w:val="26"/>
              </w:rPr>
              <w:t>ỦY BAN NHÂN DÂN</w:t>
            </w:r>
          </w:p>
          <w:p w:rsidR="00E60EF1" w:rsidRPr="00E60EF1" w:rsidRDefault="00E60EF1" w:rsidP="00E60EF1">
            <w:pPr>
              <w:keepNext/>
              <w:jc w:val="center"/>
              <w:outlineLvl w:val="1"/>
              <w:rPr>
                <w:b/>
                <w:bCs/>
                <w:color w:val="000000"/>
                <w:sz w:val="26"/>
              </w:rPr>
            </w:pPr>
            <w:r w:rsidRPr="00E60EF1">
              <w:rPr>
                <w:b/>
                <w:bCs/>
                <w:color w:val="000000"/>
                <w:sz w:val="26"/>
              </w:rPr>
              <w:t>TỈNH HÀ TĨNH</w:t>
            </w:r>
          </w:p>
          <w:p w:rsidR="00E60EF1" w:rsidRPr="00E60EF1" w:rsidRDefault="00E60EF1" w:rsidP="00125BFC">
            <w:pPr>
              <w:rPr>
                <w:rFonts w:eastAsia="Calibri"/>
                <w:color w:val="000000"/>
                <w:sz w:val="26"/>
              </w:rPr>
            </w:pPr>
            <w:r w:rsidRPr="00E60EF1">
              <w:rPr>
                <w:rFonts w:ascii="Calibri" w:eastAsia="Calibri" w:hAnsi="Calibri"/>
                <w:noProof/>
                <w:color w:val="000000"/>
                <w:sz w:val="22"/>
                <w:szCs w:val="22"/>
              </w:rPr>
              <mc:AlternateContent>
                <mc:Choice Requires="wps">
                  <w:drawing>
                    <wp:anchor distT="4294967294" distB="4294967294" distL="114300" distR="114300" simplePos="0" relativeHeight="251660288" behindDoc="0" locked="0" layoutInCell="1" allowOverlap="1" wp14:anchorId="0F3A989E" wp14:editId="55FDA46A">
                      <wp:simplePos x="0" y="0"/>
                      <wp:positionH relativeFrom="column">
                        <wp:posOffset>651205</wp:posOffset>
                      </wp:positionH>
                      <wp:positionV relativeFrom="paragraph">
                        <wp:posOffset>17145</wp:posOffset>
                      </wp:positionV>
                      <wp:extent cx="673100" cy="0"/>
                      <wp:effectExtent l="0" t="0" r="12700" b="19050"/>
                      <wp:wrapNone/>
                      <wp:docPr id="3604234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355361"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1.35pt" to="10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" strokeweight=".5pt"/>
                  </w:pict>
                </mc:Fallback>
              </mc:AlternateContent>
            </w:r>
          </w:p>
          <w:p w:rsidR="00E60EF1" w:rsidRPr="00E60EF1" w:rsidRDefault="00E60EF1" w:rsidP="00E60EF1">
            <w:pPr>
              <w:jc w:val="center"/>
              <w:rPr>
                <w:rFonts w:eastAsia="Calibri"/>
                <w:color w:val="000000"/>
              </w:rPr>
            </w:pPr>
            <w:r w:rsidRPr="00E60EF1">
              <w:rPr>
                <w:rFonts w:eastAsia="Calibri"/>
                <w:color w:val="000000"/>
              </w:rPr>
              <w:t>Số:         /UBND-KT</w:t>
            </w:r>
            <w:r w:rsidRPr="00E60EF1">
              <w:rPr>
                <w:rFonts w:eastAsia="Calibri"/>
                <w:color w:val="000000"/>
                <w:vertAlign w:val="subscript"/>
              </w:rPr>
              <w:t>2</w:t>
            </w:r>
          </w:p>
          <w:p w:rsidR="00E60EF1" w:rsidRPr="00E60EF1" w:rsidRDefault="00E60EF1" w:rsidP="00E60EF1">
            <w:pPr>
              <w:jc w:val="center"/>
              <w:rPr>
                <w:rFonts w:eastAsia="Calibri"/>
                <w:color w:val="000000"/>
                <w:sz w:val="24"/>
                <w:szCs w:val="24"/>
              </w:rPr>
            </w:pPr>
            <w:r>
              <w:rPr>
                <w:rFonts w:eastAsia="Calibri"/>
                <w:color w:val="000000"/>
                <w:sz w:val="24"/>
                <w:szCs w:val="24"/>
              </w:rPr>
              <w:t xml:space="preserve">V/v </w:t>
            </w:r>
            <w:r w:rsidRPr="00E60EF1">
              <w:rPr>
                <w:rFonts w:eastAsia="Calibri"/>
                <w:color w:val="000000"/>
                <w:sz w:val="24"/>
                <w:szCs w:val="24"/>
                <w:lang w:val="nl-NL"/>
              </w:rPr>
              <w:t>chuyển giao công trình điện là tài sản công sang Tập đoàn Điện lực Việt Nam</w:t>
            </w:r>
          </w:p>
        </w:tc>
        <w:tc>
          <w:tcPr>
            <w:tcW w:w="5876" w:type="dxa"/>
          </w:tcPr>
          <w:p w:rsidR="00E60EF1" w:rsidRPr="00E60EF1" w:rsidRDefault="00E60EF1" w:rsidP="00E60EF1">
            <w:pPr>
              <w:keepNext/>
              <w:jc w:val="center"/>
              <w:outlineLvl w:val="1"/>
              <w:rPr>
                <w:b/>
                <w:bCs/>
                <w:color w:val="000000"/>
              </w:rPr>
            </w:pPr>
            <w:r w:rsidRPr="00E60EF1">
              <w:rPr>
                <w:b/>
                <w:bCs/>
                <w:color w:val="000000"/>
                <w:sz w:val="26"/>
              </w:rPr>
              <w:t>CỘNG HOÀ XÃ HỘI CHỦ NGHĨA VIỆT NAM</w:t>
            </w:r>
          </w:p>
          <w:p w:rsidR="00E60EF1" w:rsidRPr="00E60EF1" w:rsidRDefault="00E60EF1" w:rsidP="00E60EF1">
            <w:pPr>
              <w:keepNext/>
              <w:jc w:val="center"/>
              <w:outlineLvl w:val="0"/>
              <w:rPr>
                <w:b/>
                <w:bCs/>
                <w:color w:val="000000"/>
                <w:szCs w:val="26"/>
              </w:rPr>
            </w:pPr>
            <w:r w:rsidRPr="00E60EF1">
              <w:rPr>
                <w:b/>
                <w:bCs/>
                <w:color w:val="000000"/>
                <w:szCs w:val="26"/>
              </w:rPr>
              <w:t>Độc lập - Tự do - Hạnh phúc</w:t>
            </w:r>
          </w:p>
          <w:p w:rsidR="00E60EF1" w:rsidRPr="00E60EF1" w:rsidRDefault="00F6378D" w:rsidP="00E60EF1">
            <w:pPr>
              <w:jc w:val="center"/>
              <w:rPr>
                <w:rFonts w:eastAsia="Calibri"/>
                <w:b/>
                <w:color w:val="000000"/>
              </w:rPr>
            </w:pPr>
            <w:r w:rsidRPr="00E60EF1">
              <w:rPr>
                <w:rFonts w:ascii="Calibri" w:eastAsia="Calibri" w:hAnsi="Calibri"/>
                <w:noProof/>
                <w:color w:val="000000"/>
                <w:sz w:val="22"/>
                <w:szCs w:val="22"/>
              </w:rPr>
              <mc:AlternateContent>
                <mc:Choice Requires="wps">
                  <w:drawing>
                    <wp:anchor distT="4294967295" distB="4294967295" distL="114300" distR="114300" simplePos="0" relativeHeight="251661312" behindDoc="0" locked="0" layoutInCell="1" allowOverlap="1" wp14:anchorId="457E8776" wp14:editId="221F992E">
                      <wp:simplePos x="0" y="0"/>
                      <wp:positionH relativeFrom="column">
                        <wp:posOffset>693420</wp:posOffset>
                      </wp:positionH>
                      <wp:positionV relativeFrom="paragraph">
                        <wp:posOffset>3810</wp:posOffset>
                      </wp:positionV>
                      <wp:extent cx="2165350" cy="0"/>
                      <wp:effectExtent l="0" t="0" r="25400" b="19050"/>
                      <wp:wrapNone/>
                      <wp:docPr id="10693702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5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7AC3C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6pt,.3pt" to="22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" strokecolor="windowText" strokeweight=".5pt">
                      <v:stroke joinstyle="miter"/>
                      <o:lock v:ext="edit" shapetype="f"/>
                    </v:line>
                  </w:pict>
                </mc:Fallback>
              </mc:AlternateContent>
            </w:r>
            <w:r w:rsidR="00E60EF1" w:rsidRPr="00E60EF1">
              <w:rPr>
                <w:rFonts w:eastAsia="Calibri"/>
                <w:b/>
                <w:color w:val="000000"/>
              </w:rPr>
              <w:t xml:space="preserve">  </w:t>
            </w:r>
          </w:p>
          <w:p w:rsidR="00E60EF1" w:rsidRPr="00E60EF1" w:rsidRDefault="00E60EF1" w:rsidP="00B432CB">
            <w:pPr>
              <w:keepNext/>
              <w:jc w:val="center"/>
              <w:outlineLvl w:val="2"/>
              <w:rPr>
                <w:bCs/>
                <w:i/>
                <w:color w:val="000000"/>
              </w:rPr>
            </w:pPr>
            <w:r w:rsidRPr="00E60EF1">
              <w:rPr>
                <w:bCs/>
                <w:i/>
                <w:color w:val="000000"/>
              </w:rPr>
              <w:t xml:space="preserve">Hà Tĩnh, ngày     tháng  </w:t>
            </w:r>
            <w:r>
              <w:rPr>
                <w:bCs/>
                <w:i/>
                <w:color w:val="000000"/>
              </w:rPr>
              <w:t xml:space="preserve"> </w:t>
            </w:r>
            <w:r w:rsidRPr="00E60EF1">
              <w:rPr>
                <w:bCs/>
                <w:i/>
                <w:color w:val="000000"/>
              </w:rPr>
              <w:t xml:space="preserve"> năm 2024</w:t>
            </w:r>
          </w:p>
        </w:tc>
      </w:tr>
    </w:tbl>
    <w:p w:rsidR="00E60EF1" w:rsidRDefault="00E60EF1" w:rsidP="009523EE">
      <w:pPr>
        <w:shd w:val="clear" w:color="auto" w:fill="FFFFFF"/>
        <w:spacing w:before="480"/>
        <w:ind w:left="1440" w:firstLine="720"/>
        <w:jc w:val="both"/>
        <w:rPr>
          <w:lang w:val="nl-NL"/>
        </w:rPr>
      </w:pPr>
      <w:r w:rsidRPr="00FB3669">
        <w:rPr>
          <w:lang w:val="nl-NL"/>
        </w:rPr>
        <w:t>Kính gửi:</w:t>
      </w:r>
    </w:p>
    <w:p w:rsidR="008D1FAA" w:rsidRDefault="008A02F0" w:rsidP="008D1FAA">
      <w:pPr>
        <w:ind w:hanging="108"/>
        <w:rPr>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170764</wp:posOffset>
                </wp:positionH>
                <wp:positionV relativeFrom="paragraph">
                  <wp:posOffset>14275</wp:posOffset>
                </wp:positionV>
                <wp:extent cx="782727" cy="292608"/>
                <wp:effectExtent l="0" t="0" r="17780" b="12700"/>
                <wp:wrapNone/>
                <wp:docPr id="3" name="Text Box 3"/>
                <wp:cNvGraphicFramePr/>
                <a:graphic xmlns:a="http://schemas.openxmlformats.org/drawingml/2006/main">
                  <a:graphicData uri="http://schemas.microsoft.com/office/word/2010/wordprocessingShape">
                    <wps:wsp>
                      <wps:cNvSpPr txBox="1"/>
                      <wps:spPr>
                        <a:xfrm>
                          <a:off x="0" y="0"/>
                          <a:ext cx="782727"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2F0" w:rsidRDefault="008A02F0">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13.45pt;margin-top:1.1pt;width:61.6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" fillcolor="white [3201]" strokeweight=".5pt">
                <v:textbox>
                  <w:txbxContent>
                    <w:p w:rsidR="008A02F0" w:rsidRDefault="008A02F0">
                      <w:r>
                        <w:t>Dự thảo</w:t>
                      </w:r>
                    </w:p>
                  </w:txbxContent>
                </v:textbox>
              </v:shape>
            </w:pict>
          </mc:Fallback>
        </mc:AlternateContent>
      </w:r>
      <w:r w:rsidR="00E60EF1">
        <w:rPr>
          <w:lang w:val="nl-NL"/>
        </w:rPr>
        <w:tab/>
      </w:r>
      <w:r w:rsidR="00E60EF1">
        <w:rPr>
          <w:lang w:val="nl-NL"/>
        </w:rPr>
        <w:tab/>
      </w:r>
      <w:r w:rsidR="00E60EF1">
        <w:rPr>
          <w:lang w:val="nl-NL"/>
        </w:rPr>
        <w:tab/>
      </w:r>
      <w:r w:rsidR="00E60EF1">
        <w:rPr>
          <w:lang w:val="nl-NL"/>
        </w:rPr>
        <w:tab/>
      </w:r>
      <w:r w:rsidR="00E60EF1">
        <w:rPr>
          <w:lang w:val="nl-NL"/>
        </w:rPr>
        <w:tab/>
      </w:r>
      <w:r w:rsidR="00E60EF1">
        <w:rPr>
          <w:lang w:val="nl-NL"/>
        </w:rPr>
        <w:tab/>
      </w:r>
      <w:r w:rsidR="00E60EF1" w:rsidRPr="00F94496">
        <w:rPr>
          <w:lang w:val="nl-NL"/>
        </w:rPr>
        <w:t xml:space="preserve">- </w:t>
      </w:r>
      <w:r w:rsidR="00AD795C">
        <w:rPr>
          <w:lang w:val="nl-NL"/>
        </w:rPr>
        <w:t>Các S</w:t>
      </w:r>
      <w:r w:rsidR="00E60EF1">
        <w:rPr>
          <w:lang w:val="nl-NL"/>
        </w:rPr>
        <w:t>ở, ban, ngành cấp tỉnh;</w:t>
      </w:r>
    </w:p>
    <w:p w:rsidR="00AD795C" w:rsidRDefault="008D1FAA" w:rsidP="00413B55">
      <w:pPr>
        <w:ind w:left="2880" w:firstLine="720"/>
        <w:rPr>
          <w:lang w:val="nl-NL"/>
        </w:rPr>
      </w:pPr>
      <w:r>
        <w:rPr>
          <w:lang w:val="nl-NL"/>
        </w:rPr>
        <w:t xml:space="preserve">- </w:t>
      </w:r>
      <w:r w:rsidR="00413166">
        <w:rPr>
          <w:lang w:val="nl-NL"/>
        </w:rPr>
        <w:t>Các đơn vị lực vị lực lượng vũ trang nhân dân</w:t>
      </w:r>
      <w:r w:rsidR="008627A4">
        <w:rPr>
          <w:lang w:val="nl-NL"/>
        </w:rPr>
        <w:t>;</w:t>
      </w:r>
    </w:p>
    <w:p w:rsidR="00E60EF1" w:rsidRDefault="00E60EF1" w:rsidP="00E60EF1">
      <w:pPr>
        <w:ind w:left="2880" w:firstLine="720"/>
        <w:rPr>
          <w:lang w:val="nl-NL"/>
        </w:rPr>
      </w:pPr>
      <w:r w:rsidRPr="00F94496">
        <w:rPr>
          <w:lang w:val="nl-NL"/>
        </w:rPr>
        <w:t xml:space="preserve">- UBND các huyện, </w:t>
      </w:r>
      <w:r>
        <w:rPr>
          <w:lang w:val="nl-NL"/>
        </w:rPr>
        <w:t xml:space="preserve">thị xã, </w:t>
      </w:r>
      <w:r w:rsidRPr="00F94496">
        <w:rPr>
          <w:lang w:val="nl-NL"/>
        </w:rPr>
        <w:t>thành phố</w:t>
      </w:r>
      <w:r>
        <w:rPr>
          <w:lang w:val="nl-NL"/>
        </w:rPr>
        <w:t>;</w:t>
      </w:r>
    </w:p>
    <w:p w:rsidR="00AD795C" w:rsidRDefault="00E60EF1" w:rsidP="00E60EF1">
      <w:pPr>
        <w:ind w:left="2880" w:firstLine="720"/>
        <w:rPr>
          <w:lang w:val="nl-NL"/>
        </w:rPr>
      </w:pPr>
      <w:r>
        <w:rPr>
          <w:lang w:val="nl-NL"/>
        </w:rPr>
        <w:t>- Công ty Điện lực Hà Tĩnh</w:t>
      </w:r>
      <w:r w:rsidR="00AD795C">
        <w:rPr>
          <w:lang w:val="nl-NL"/>
        </w:rPr>
        <w:t>;</w:t>
      </w:r>
    </w:p>
    <w:p w:rsidR="00E60EF1" w:rsidRDefault="00AD795C" w:rsidP="00AD795C">
      <w:pPr>
        <w:ind w:left="2880" w:firstLine="720"/>
        <w:rPr>
          <w:lang w:val="nl-NL"/>
        </w:rPr>
      </w:pPr>
      <w:r>
        <w:rPr>
          <w:lang w:val="nl-NL"/>
        </w:rPr>
        <w:t>- Các Chủ đầu tư công trình điện</w:t>
      </w:r>
      <w:r w:rsidR="00E60EF1">
        <w:rPr>
          <w:lang w:val="nl-NL"/>
        </w:rPr>
        <w:t>.</w:t>
      </w:r>
    </w:p>
    <w:p w:rsidR="00E60EF1" w:rsidRPr="00413166" w:rsidRDefault="00E60EF1" w:rsidP="0019593D">
      <w:pPr>
        <w:shd w:val="clear" w:color="auto" w:fill="FFFFFF"/>
        <w:spacing w:before="120"/>
        <w:ind w:firstLine="720"/>
        <w:jc w:val="both"/>
        <w:rPr>
          <w:color w:val="000000"/>
          <w:sz w:val="26"/>
          <w:shd w:val="clear" w:color="auto" w:fill="FFFFFF"/>
          <w:lang w:val="nl-NL"/>
        </w:rPr>
      </w:pPr>
    </w:p>
    <w:p w:rsidR="005C59A5" w:rsidRPr="00E60EF1" w:rsidRDefault="00F94496" w:rsidP="00413B55">
      <w:pPr>
        <w:shd w:val="clear" w:color="auto" w:fill="FFFFFF"/>
        <w:spacing w:before="60" w:line="276" w:lineRule="auto"/>
        <w:ind w:firstLine="720"/>
        <w:jc w:val="both"/>
        <w:rPr>
          <w:lang w:val="nl-NL"/>
        </w:rPr>
      </w:pPr>
      <w:r w:rsidRPr="00E60EF1">
        <w:rPr>
          <w:color w:val="000000"/>
          <w:shd w:val="clear" w:color="auto" w:fill="FFFFFF"/>
          <w:lang w:val="nl-NL"/>
        </w:rPr>
        <w:t>N</w:t>
      </w:r>
      <w:r w:rsidR="00F95E78" w:rsidRPr="00E60EF1">
        <w:rPr>
          <w:lang w:val="nl-NL" w:eastAsia="vi-VN"/>
        </w:rPr>
        <w:t>gày</w:t>
      </w:r>
      <w:r w:rsidRPr="00E60EF1">
        <w:rPr>
          <w:lang w:val="nl-NL" w:eastAsia="vi-VN"/>
        </w:rPr>
        <w:t xml:space="preserve"> 10/01/2024, Chính phủ</w:t>
      </w:r>
      <w:r w:rsidR="00F95E78" w:rsidRPr="00E60EF1">
        <w:rPr>
          <w:lang w:val="nl-NL" w:eastAsia="vi-VN"/>
        </w:rPr>
        <w:t xml:space="preserve"> </w:t>
      </w:r>
      <w:r w:rsidRPr="00E60EF1">
        <w:rPr>
          <w:lang w:val="nl-NL" w:eastAsia="vi-VN"/>
        </w:rPr>
        <w:t xml:space="preserve">ban hành Nghị định số 02/2024/NĐ-CP </w:t>
      </w:r>
      <w:r w:rsidR="00092EA6" w:rsidRPr="00E60EF1">
        <w:rPr>
          <w:lang w:val="nl-NL" w:eastAsia="vi-VN"/>
        </w:rPr>
        <w:t xml:space="preserve">về </w:t>
      </w:r>
      <w:r w:rsidRPr="00E60EF1">
        <w:rPr>
          <w:lang w:val="nl-NL" w:eastAsia="vi-VN"/>
        </w:rPr>
        <w:t>việc</w:t>
      </w:r>
      <w:r w:rsidRPr="00E60EF1">
        <w:rPr>
          <w:sz w:val="26"/>
          <w:lang w:val="nl-NL"/>
        </w:rPr>
        <w:t xml:space="preserve"> </w:t>
      </w:r>
      <w:r w:rsidRPr="00E60EF1">
        <w:rPr>
          <w:lang w:val="nl-NL"/>
        </w:rPr>
        <w:t>chuyển giao công trình điện là tài sản công sang Tập đoàn Điện lực Việt Nam</w:t>
      </w:r>
      <w:r w:rsidR="00B37C72" w:rsidRPr="00E60EF1">
        <w:rPr>
          <w:lang w:val="nl-NL"/>
        </w:rPr>
        <w:t xml:space="preserve"> </w:t>
      </w:r>
      <w:r w:rsidR="00B37C72" w:rsidRPr="00E60EF1">
        <w:rPr>
          <w:i/>
          <w:lang w:val="nl-NL"/>
        </w:rPr>
        <w:t>(có hiệu lực kể từ ngày 01/3/2024)</w:t>
      </w:r>
      <w:r w:rsidR="00F95E78" w:rsidRPr="00E60EF1">
        <w:rPr>
          <w:lang w:val="nl-NL"/>
        </w:rPr>
        <w:t xml:space="preserve">. </w:t>
      </w:r>
      <w:r w:rsidR="0076681E" w:rsidRPr="00E60EF1">
        <w:rPr>
          <w:lang w:val="nl-NL"/>
        </w:rPr>
        <w:t>Triển khai thực hiện Nghị định</w:t>
      </w:r>
      <w:r w:rsidR="0019593D" w:rsidRPr="00E60EF1">
        <w:rPr>
          <w:lang w:val="nl-NL"/>
        </w:rPr>
        <w:t xml:space="preserve"> này</w:t>
      </w:r>
      <w:r w:rsidR="0076681E" w:rsidRPr="00E60EF1">
        <w:rPr>
          <w:lang w:val="nl-NL"/>
        </w:rPr>
        <w:t xml:space="preserve"> </w:t>
      </w:r>
      <w:r w:rsidR="00CF22C8" w:rsidRPr="00E60EF1">
        <w:rPr>
          <w:lang w:val="nl-NL"/>
        </w:rPr>
        <w:t xml:space="preserve">UBND tỉnh yêu cầu các </w:t>
      </w:r>
      <w:r w:rsidR="003105CD" w:rsidRPr="00E60EF1">
        <w:rPr>
          <w:lang w:val="nl-NL"/>
        </w:rPr>
        <w:t>S</w:t>
      </w:r>
      <w:r w:rsidR="002A005E" w:rsidRPr="00E60EF1">
        <w:rPr>
          <w:lang w:val="nl-NL"/>
        </w:rPr>
        <w:t xml:space="preserve">ở, ban, ngành </w:t>
      </w:r>
      <w:r w:rsidR="003105CD" w:rsidRPr="00E60EF1">
        <w:rPr>
          <w:lang w:val="nl-NL"/>
        </w:rPr>
        <w:t>cấp tỉnh;</w:t>
      </w:r>
      <w:r w:rsidR="002A005E" w:rsidRPr="00E60EF1">
        <w:rPr>
          <w:lang w:val="nl-NL"/>
        </w:rPr>
        <w:t xml:space="preserve"> UBND </w:t>
      </w:r>
      <w:r w:rsidR="003105CD" w:rsidRPr="00E60EF1">
        <w:rPr>
          <w:lang w:val="nl-NL"/>
        </w:rPr>
        <w:t xml:space="preserve">các </w:t>
      </w:r>
      <w:r w:rsidR="002A005E" w:rsidRPr="00E60EF1">
        <w:rPr>
          <w:lang w:val="nl-NL"/>
        </w:rPr>
        <w:t>huyện</w:t>
      </w:r>
      <w:r w:rsidR="003171D8" w:rsidRPr="00E60EF1">
        <w:rPr>
          <w:lang w:val="nl-NL"/>
        </w:rPr>
        <w:t>,</w:t>
      </w:r>
      <w:r w:rsidR="002A005E" w:rsidRPr="00E60EF1">
        <w:rPr>
          <w:lang w:val="nl-NL"/>
        </w:rPr>
        <w:t xml:space="preserve"> </w:t>
      </w:r>
      <w:r w:rsidR="00D5664E" w:rsidRPr="00E60EF1">
        <w:rPr>
          <w:lang w:val="nl-NL"/>
        </w:rPr>
        <w:t xml:space="preserve">thị xã, </w:t>
      </w:r>
      <w:r w:rsidR="002A005E" w:rsidRPr="00E60EF1">
        <w:rPr>
          <w:lang w:val="nl-NL"/>
        </w:rPr>
        <w:t>thành phố</w:t>
      </w:r>
      <w:r w:rsidR="003105CD" w:rsidRPr="00E60EF1">
        <w:rPr>
          <w:lang w:val="nl-NL"/>
        </w:rPr>
        <w:t xml:space="preserve">; Công ty Điện lực Hà Tĩnh </w:t>
      </w:r>
      <w:r w:rsidR="003171D8" w:rsidRPr="00E60EF1">
        <w:rPr>
          <w:lang w:val="nl-NL"/>
        </w:rPr>
        <w:t>triển khai</w:t>
      </w:r>
      <w:r w:rsidR="002A005E" w:rsidRPr="00E60EF1">
        <w:rPr>
          <w:lang w:val="nl-NL"/>
        </w:rPr>
        <w:t xml:space="preserve"> thực hiện các nhiệm vụ sau:</w:t>
      </w:r>
    </w:p>
    <w:p w:rsidR="00EF4E2D" w:rsidRPr="00E60EF1" w:rsidRDefault="00112C7B" w:rsidP="00413B55">
      <w:pPr>
        <w:spacing w:before="60" w:line="276" w:lineRule="auto"/>
        <w:ind w:firstLine="720"/>
        <w:jc w:val="both"/>
        <w:rPr>
          <w:color w:val="000000"/>
          <w:spacing w:val="-2"/>
        </w:rPr>
      </w:pPr>
      <w:r w:rsidRPr="00E60EF1">
        <w:rPr>
          <w:lang w:val="nl-NL"/>
        </w:rPr>
        <w:t xml:space="preserve">1. </w:t>
      </w:r>
      <w:r w:rsidR="00A6115A" w:rsidRPr="00E60EF1">
        <w:rPr>
          <w:lang w:val="nl-NL"/>
        </w:rPr>
        <w:t xml:space="preserve">Các </w:t>
      </w:r>
      <w:r w:rsidR="00F13138" w:rsidRPr="00E60EF1">
        <w:rPr>
          <w:lang w:val="nl-NL"/>
        </w:rPr>
        <w:t>s</w:t>
      </w:r>
      <w:r w:rsidR="003105CD" w:rsidRPr="00E60EF1">
        <w:rPr>
          <w:lang w:val="nl-NL"/>
        </w:rPr>
        <w:t>ở, ban, ngành cấp tỉnh</w:t>
      </w:r>
      <w:r w:rsidR="00217A6F" w:rsidRPr="00E60EF1">
        <w:rPr>
          <w:lang w:val="nl-NL"/>
        </w:rPr>
        <w:t xml:space="preserve">; </w:t>
      </w:r>
      <w:r w:rsidR="008627A4">
        <w:rPr>
          <w:lang w:val="nl-NL"/>
        </w:rPr>
        <w:t>các đơn vị lực lượng vũ trang nhân dân;</w:t>
      </w:r>
      <w:r w:rsidR="008627A4" w:rsidRPr="00E60EF1">
        <w:rPr>
          <w:lang w:val="nl-NL"/>
        </w:rPr>
        <w:t xml:space="preserve"> </w:t>
      </w:r>
      <w:r w:rsidR="00217A6F" w:rsidRPr="00E60EF1">
        <w:rPr>
          <w:lang w:val="nl-NL"/>
        </w:rPr>
        <w:t>UBND các huyện, thành phố, thị xã</w:t>
      </w:r>
      <w:r w:rsidR="008627A4">
        <w:rPr>
          <w:lang w:val="nl-NL"/>
        </w:rPr>
        <w:t>: t</w:t>
      </w:r>
      <w:r w:rsidR="00D7621A" w:rsidRPr="00E60EF1">
        <w:rPr>
          <w:color w:val="000000"/>
          <w:spacing w:val="-2"/>
        </w:rPr>
        <w:t>hực hiện/c</w:t>
      </w:r>
      <w:r w:rsidR="00EF4E2D" w:rsidRPr="00E60EF1">
        <w:rPr>
          <w:color w:val="000000"/>
          <w:spacing w:val="-2"/>
        </w:rPr>
        <w:t xml:space="preserve">hỉ đạo các cơ quan, tổ chức, đơn vị, doanh nghiệp </w:t>
      </w:r>
      <w:r w:rsidR="00EF4E2D" w:rsidRPr="00E60EF1">
        <w:rPr>
          <w:i/>
          <w:color w:val="000000"/>
          <w:spacing w:val="-2"/>
        </w:rPr>
        <w:t>(thuộc phạm vi quản lý)</w:t>
      </w:r>
      <w:r w:rsidR="00EF4E2D" w:rsidRPr="00E60EF1">
        <w:rPr>
          <w:color w:val="000000"/>
          <w:spacing w:val="-2"/>
        </w:rPr>
        <w:t xml:space="preserve"> thực hiện rà soát, lập danh mục các công trình điện là tài sản công</w:t>
      </w:r>
      <w:r w:rsidR="00EF4E2D" w:rsidRPr="00E60EF1">
        <w:rPr>
          <w:rStyle w:val="FootnoteReference"/>
          <w:color w:val="000000"/>
          <w:spacing w:val="-2"/>
        </w:rPr>
        <w:footnoteReference w:id="1"/>
      </w:r>
      <w:r w:rsidR="00EF4E2D" w:rsidRPr="00E60EF1">
        <w:rPr>
          <w:color w:val="000000"/>
          <w:spacing w:val="-2"/>
        </w:rPr>
        <w:t xml:space="preserve"> cần chuyển giao</w:t>
      </w:r>
      <w:r w:rsidR="007F4F5F" w:rsidRPr="00E60EF1">
        <w:rPr>
          <w:color w:val="000000"/>
          <w:spacing w:val="-2"/>
        </w:rPr>
        <w:t>, phối hợp với Công ty Điện lực Hà Tĩnh</w:t>
      </w:r>
      <w:r w:rsidR="00EF4E2D" w:rsidRPr="00E60EF1">
        <w:rPr>
          <w:color w:val="000000"/>
          <w:spacing w:val="-2"/>
        </w:rPr>
        <w:t xml:space="preserve"> để thực hiện </w:t>
      </w:r>
      <w:r w:rsidR="007F4F5F" w:rsidRPr="00E60EF1">
        <w:rPr>
          <w:color w:val="000000"/>
          <w:spacing w:val="-2"/>
        </w:rPr>
        <w:t xml:space="preserve">các thủ tục </w:t>
      </w:r>
      <w:r w:rsidR="00EF4E2D" w:rsidRPr="00E60EF1">
        <w:rPr>
          <w:color w:val="000000"/>
          <w:spacing w:val="-2"/>
        </w:rPr>
        <w:t xml:space="preserve">chuyển giao sang Tập đoàn Điện lực Việt Nam theo quy định tại Nghị định số 02/2024/NĐ-CP của Chính phủ. </w:t>
      </w:r>
    </w:p>
    <w:p w:rsidR="00217A6F" w:rsidRPr="00E60EF1" w:rsidRDefault="00D5664E" w:rsidP="00413B55">
      <w:pPr>
        <w:pStyle w:val="NormalWeb"/>
        <w:shd w:val="clear" w:color="auto" w:fill="FFFFFF"/>
        <w:spacing w:before="60" w:beforeAutospacing="0" w:after="0" w:afterAutospacing="0" w:line="276" w:lineRule="auto"/>
        <w:ind w:firstLine="720"/>
        <w:jc w:val="both"/>
        <w:rPr>
          <w:sz w:val="28"/>
          <w:szCs w:val="28"/>
          <w:lang w:val="en-US"/>
        </w:rPr>
      </w:pPr>
      <w:r w:rsidRPr="00E60EF1">
        <w:rPr>
          <w:sz w:val="28"/>
          <w:szCs w:val="28"/>
          <w:lang w:val="en-US"/>
        </w:rPr>
        <w:t>2. Sở Tài chính</w:t>
      </w:r>
      <w:r w:rsidR="004B3F04">
        <w:rPr>
          <w:sz w:val="28"/>
          <w:szCs w:val="28"/>
          <w:lang w:val="en-US"/>
        </w:rPr>
        <w:t>:</w:t>
      </w:r>
      <w:r w:rsidRPr="00E60EF1">
        <w:rPr>
          <w:sz w:val="28"/>
          <w:szCs w:val="28"/>
          <w:lang w:val="en-US"/>
        </w:rPr>
        <w:t xml:space="preserve"> </w:t>
      </w:r>
    </w:p>
    <w:p w:rsidR="00217A6F" w:rsidRPr="00E60EF1" w:rsidRDefault="00217A6F" w:rsidP="00413B55">
      <w:pPr>
        <w:pStyle w:val="NormalWeb"/>
        <w:shd w:val="clear" w:color="auto" w:fill="FFFFFF"/>
        <w:spacing w:before="60" w:beforeAutospacing="0" w:after="0" w:afterAutospacing="0" w:line="276" w:lineRule="auto"/>
        <w:ind w:firstLine="720"/>
        <w:jc w:val="both"/>
        <w:rPr>
          <w:sz w:val="28"/>
          <w:szCs w:val="28"/>
          <w:lang w:val="nl-NL"/>
        </w:rPr>
      </w:pPr>
      <w:r w:rsidRPr="00E60EF1">
        <w:rPr>
          <w:sz w:val="28"/>
          <w:szCs w:val="28"/>
          <w:lang w:val="en-US"/>
        </w:rPr>
        <w:t>- T</w:t>
      </w:r>
      <w:r w:rsidR="00D5664E" w:rsidRPr="00E60EF1">
        <w:rPr>
          <w:sz w:val="28"/>
          <w:szCs w:val="28"/>
          <w:lang w:val="en-US"/>
        </w:rPr>
        <w:t xml:space="preserve">ham mưu </w:t>
      </w:r>
      <w:r w:rsidR="00D5664E" w:rsidRPr="00E60EF1">
        <w:rPr>
          <w:sz w:val="28"/>
          <w:szCs w:val="28"/>
        </w:rPr>
        <w:t xml:space="preserve">Chủ tịch </w:t>
      </w:r>
      <w:r w:rsidR="007F4F5F" w:rsidRPr="00E60EF1">
        <w:rPr>
          <w:sz w:val="28"/>
          <w:szCs w:val="28"/>
          <w:lang w:val="en-US"/>
        </w:rPr>
        <w:t>UBND</w:t>
      </w:r>
      <w:r w:rsidR="00D5664E" w:rsidRPr="00E60EF1">
        <w:rPr>
          <w:sz w:val="28"/>
          <w:szCs w:val="28"/>
        </w:rPr>
        <w:t xml:space="preserve"> tỉnh</w:t>
      </w:r>
      <w:r w:rsidR="00D5664E" w:rsidRPr="00E60EF1">
        <w:rPr>
          <w:sz w:val="28"/>
          <w:szCs w:val="28"/>
          <w:lang w:val="en-US"/>
        </w:rPr>
        <w:t xml:space="preserve"> </w:t>
      </w:r>
      <w:r w:rsidR="007F4F5F" w:rsidRPr="00E60EF1">
        <w:rPr>
          <w:sz w:val="28"/>
          <w:szCs w:val="28"/>
          <w:lang w:val="en-US"/>
        </w:rPr>
        <w:t>Q</w:t>
      </w:r>
      <w:r w:rsidR="00D5664E" w:rsidRPr="00E60EF1">
        <w:rPr>
          <w:sz w:val="28"/>
          <w:szCs w:val="28"/>
        </w:rPr>
        <w:t>uyết định xác lập quyền sở hữu toàn dân</w:t>
      </w:r>
      <w:r w:rsidR="00D5664E" w:rsidRPr="00E60EF1">
        <w:rPr>
          <w:sz w:val="28"/>
          <w:szCs w:val="28"/>
          <w:lang w:val="en-US"/>
        </w:rPr>
        <w:t xml:space="preserve"> đối với </w:t>
      </w:r>
      <w:r w:rsidR="007F4F5F" w:rsidRPr="00E60EF1">
        <w:rPr>
          <w:sz w:val="28"/>
          <w:szCs w:val="28"/>
          <w:lang w:val="en-US"/>
        </w:rPr>
        <w:t xml:space="preserve">các </w:t>
      </w:r>
      <w:r w:rsidR="00D5664E" w:rsidRPr="00E60EF1">
        <w:rPr>
          <w:sz w:val="28"/>
          <w:szCs w:val="28"/>
          <w:lang w:val="en-US"/>
        </w:rPr>
        <w:t xml:space="preserve">công trình điện có nguồn gốc ngoài ngân sách nhà nước và công trình điện được đầu tư </w:t>
      </w:r>
      <w:proofErr w:type="gramStart"/>
      <w:r w:rsidR="00D5664E" w:rsidRPr="00E60EF1">
        <w:rPr>
          <w:sz w:val="28"/>
          <w:szCs w:val="28"/>
          <w:lang w:val="en-US"/>
        </w:rPr>
        <w:t>theo</w:t>
      </w:r>
      <w:proofErr w:type="gramEnd"/>
      <w:r w:rsidR="00D5664E" w:rsidRPr="00E60EF1">
        <w:rPr>
          <w:sz w:val="28"/>
          <w:szCs w:val="28"/>
          <w:lang w:val="en-US"/>
        </w:rPr>
        <w:t xml:space="preserve"> phương thức đối tác công tư quy định</w:t>
      </w:r>
      <w:r w:rsidR="00D5664E" w:rsidRPr="00E60EF1">
        <w:rPr>
          <w:color w:val="000000"/>
          <w:sz w:val="28"/>
          <w:szCs w:val="28"/>
        </w:rPr>
        <w:t xml:space="preserve"> tại</w:t>
      </w:r>
      <w:r w:rsidR="00E07E1A" w:rsidRPr="00E60EF1">
        <w:rPr>
          <w:color w:val="000000"/>
          <w:sz w:val="28"/>
          <w:szCs w:val="28"/>
          <w:lang w:val="en-US"/>
        </w:rPr>
        <w:t xml:space="preserve"> các</w:t>
      </w:r>
      <w:r w:rsidR="00D5664E" w:rsidRPr="00E60EF1">
        <w:rPr>
          <w:color w:val="000000"/>
          <w:sz w:val="28"/>
          <w:szCs w:val="28"/>
        </w:rPr>
        <w:t xml:space="preserve"> </w:t>
      </w:r>
      <w:r w:rsidR="007F4F5F" w:rsidRPr="00E60EF1">
        <w:rPr>
          <w:color w:val="000000"/>
          <w:sz w:val="28"/>
          <w:szCs w:val="28"/>
          <w:lang w:val="en-US"/>
        </w:rPr>
        <w:t>Điều 14</w:t>
      </w:r>
      <w:r w:rsidR="00E07E1A" w:rsidRPr="00E60EF1">
        <w:rPr>
          <w:color w:val="000000"/>
          <w:sz w:val="28"/>
          <w:szCs w:val="28"/>
          <w:lang w:val="en-US"/>
        </w:rPr>
        <w:t>,</w:t>
      </w:r>
      <w:r w:rsidR="007F4F5F" w:rsidRPr="00E60EF1">
        <w:rPr>
          <w:color w:val="000000"/>
          <w:sz w:val="28"/>
          <w:szCs w:val="28"/>
          <w:lang w:val="en-US"/>
        </w:rPr>
        <w:t xml:space="preserve"> 17</w:t>
      </w:r>
      <w:r w:rsidR="00E07E1A" w:rsidRPr="00E60EF1">
        <w:rPr>
          <w:color w:val="000000"/>
          <w:sz w:val="28"/>
          <w:szCs w:val="28"/>
          <w:lang w:val="en-US"/>
        </w:rPr>
        <w:t>, 19</w:t>
      </w:r>
      <w:r w:rsidR="007F4F5F" w:rsidRPr="00E60EF1">
        <w:rPr>
          <w:color w:val="000000"/>
          <w:sz w:val="28"/>
          <w:szCs w:val="28"/>
          <w:lang w:val="en-US"/>
        </w:rPr>
        <w:t xml:space="preserve"> </w:t>
      </w:r>
      <w:r w:rsidR="00D5664E" w:rsidRPr="00E60EF1">
        <w:rPr>
          <w:sz w:val="28"/>
          <w:szCs w:val="28"/>
          <w:lang w:val="nl-NL"/>
        </w:rPr>
        <w:t>Nghị định số 02/2024/NĐ-CP của Chính phủ</w:t>
      </w:r>
      <w:r w:rsidRPr="00E60EF1">
        <w:rPr>
          <w:sz w:val="28"/>
          <w:szCs w:val="28"/>
          <w:lang w:val="nl-NL"/>
        </w:rPr>
        <w:t>.</w:t>
      </w:r>
    </w:p>
    <w:p w:rsidR="009121B4" w:rsidRPr="00E60EF1" w:rsidRDefault="00217A6F" w:rsidP="00413B55">
      <w:pPr>
        <w:pStyle w:val="NormalWeb"/>
        <w:shd w:val="clear" w:color="auto" w:fill="FFFFFF"/>
        <w:spacing w:before="60" w:beforeAutospacing="0" w:after="0" w:afterAutospacing="0" w:line="276" w:lineRule="auto"/>
        <w:ind w:firstLine="720"/>
        <w:jc w:val="both"/>
        <w:rPr>
          <w:sz w:val="28"/>
          <w:szCs w:val="28"/>
          <w:lang w:val="nl-NL"/>
        </w:rPr>
      </w:pPr>
      <w:r w:rsidRPr="00E60EF1">
        <w:rPr>
          <w:sz w:val="28"/>
          <w:szCs w:val="28"/>
          <w:lang w:val="nl-NL"/>
        </w:rPr>
        <w:t>- H</w:t>
      </w:r>
      <w:r w:rsidR="00D5664E" w:rsidRPr="00E60EF1">
        <w:rPr>
          <w:sz w:val="28"/>
          <w:szCs w:val="28"/>
          <w:lang w:val="nl-NL"/>
        </w:rPr>
        <w:t>ướng dẫn xác định giá trị còn lại của công trình/hạng mục công trình điện</w:t>
      </w:r>
      <w:r w:rsidR="0019593D" w:rsidRPr="00E60EF1">
        <w:rPr>
          <w:sz w:val="28"/>
          <w:szCs w:val="28"/>
          <w:lang w:val="nl-NL"/>
        </w:rPr>
        <w:t xml:space="preserve">, xử lý các khoản chi phí phát sinh trong quá trình chuyển giao tài sản </w:t>
      </w:r>
      <w:r w:rsidR="0019593D" w:rsidRPr="00E60EF1">
        <w:rPr>
          <w:i/>
          <w:sz w:val="28"/>
          <w:szCs w:val="28"/>
          <w:lang w:val="nl-NL"/>
        </w:rPr>
        <w:t>(nếu có yêu cầu)</w:t>
      </w:r>
      <w:r w:rsidR="0019593D" w:rsidRPr="00E60EF1">
        <w:rPr>
          <w:sz w:val="28"/>
          <w:szCs w:val="28"/>
          <w:lang w:val="nl-NL"/>
        </w:rPr>
        <w:t xml:space="preserve"> </w:t>
      </w:r>
      <w:r w:rsidRPr="00E60EF1">
        <w:rPr>
          <w:sz w:val="28"/>
          <w:szCs w:val="28"/>
          <w:lang w:val="nl-NL"/>
        </w:rPr>
        <w:t>theo quy định</w:t>
      </w:r>
      <w:r w:rsidR="0019593D" w:rsidRPr="00E60EF1">
        <w:rPr>
          <w:sz w:val="28"/>
          <w:szCs w:val="28"/>
          <w:lang w:val="nl-NL"/>
        </w:rPr>
        <w:t xml:space="preserve"> tại </w:t>
      </w:r>
      <w:r w:rsidR="00E07E1A" w:rsidRPr="00E60EF1">
        <w:rPr>
          <w:sz w:val="28"/>
          <w:szCs w:val="28"/>
          <w:lang w:val="nl-NL"/>
        </w:rPr>
        <w:t>các Đ</w:t>
      </w:r>
      <w:r w:rsidR="0019593D" w:rsidRPr="00E60EF1">
        <w:rPr>
          <w:sz w:val="28"/>
          <w:szCs w:val="28"/>
          <w:lang w:val="nl-NL"/>
        </w:rPr>
        <w:t xml:space="preserve">iều 9, 11, 12 Nghị định </w:t>
      </w:r>
      <w:r w:rsidR="009121B4" w:rsidRPr="00E60EF1">
        <w:rPr>
          <w:sz w:val="28"/>
          <w:szCs w:val="28"/>
          <w:lang w:val="nl-NL"/>
        </w:rPr>
        <w:t>0</w:t>
      </w:r>
      <w:r w:rsidR="0019593D" w:rsidRPr="00E60EF1">
        <w:rPr>
          <w:sz w:val="28"/>
          <w:szCs w:val="28"/>
          <w:lang w:val="nl-NL"/>
        </w:rPr>
        <w:t>2/2024/NĐ-CP của Chính phủ.</w:t>
      </w:r>
    </w:p>
    <w:p w:rsidR="009121B4" w:rsidRPr="00E60EF1" w:rsidRDefault="009121B4" w:rsidP="00413B55">
      <w:pPr>
        <w:pStyle w:val="NormalWeb"/>
        <w:shd w:val="clear" w:color="auto" w:fill="FFFFFF"/>
        <w:spacing w:before="60" w:beforeAutospacing="0" w:after="0" w:afterAutospacing="0" w:line="276" w:lineRule="auto"/>
        <w:ind w:firstLine="720"/>
        <w:jc w:val="both"/>
        <w:rPr>
          <w:sz w:val="28"/>
          <w:szCs w:val="28"/>
          <w:lang w:val="en-US"/>
        </w:rPr>
      </w:pPr>
      <w:r w:rsidRPr="00E60EF1">
        <w:rPr>
          <w:color w:val="000000"/>
          <w:sz w:val="28"/>
          <w:szCs w:val="28"/>
          <w:lang w:val="en-US"/>
        </w:rPr>
        <w:t xml:space="preserve">- </w:t>
      </w:r>
      <w:r w:rsidRPr="00E60EF1">
        <w:rPr>
          <w:sz w:val="28"/>
          <w:szCs w:val="28"/>
          <w:lang w:val="en-US"/>
        </w:rPr>
        <w:t xml:space="preserve">Đôn đốc, hướng dẫn, kiểm tra các cơ quan, tổ chức, đơn vị, doanh nghiệp trong việc triển khai thực hiện Nghị định 02/2024/NĐ-CP của Chính phủ. </w:t>
      </w:r>
    </w:p>
    <w:p w:rsidR="00D5664E" w:rsidRPr="00E60EF1" w:rsidRDefault="00D5664E" w:rsidP="00413B55">
      <w:pPr>
        <w:pStyle w:val="NormalWeb"/>
        <w:shd w:val="clear" w:color="auto" w:fill="FFFFFF"/>
        <w:spacing w:before="60" w:beforeAutospacing="0" w:after="0" w:afterAutospacing="0" w:line="276" w:lineRule="auto"/>
        <w:ind w:firstLine="720"/>
        <w:jc w:val="both"/>
        <w:rPr>
          <w:sz w:val="28"/>
          <w:szCs w:val="28"/>
          <w:lang w:val="en-US"/>
        </w:rPr>
      </w:pPr>
      <w:r w:rsidRPr="00E60EF1">
        <w:rPr>
          <w:sz w:val="28"/>
          <w:szCs w:val="28"/>
          <w:lang w:val="en-US"/>
        </w:rPr>
        <w:lastRenderedPageBreak/>
        <w:t>3. Sở Xây dựng</w:t>
      </w:r>
      <w:r w:rsidR="00413166">
        <w:rPr>
          <w:sz w:val="28"/>
          <w:szCs w:val="28"/>
          <w:lang w:val="en-US"/>
        </w:rPr>
        <w:t>: c</w:t>
      </w:r>
      <w:r w:rsidRPr="00E60EF1">
        <w:rPr>
          <w:sz w:val="28"/>
          <w:szCs w:val="28"/>
          <w:lang w:val="en-US"/>
        </w:rPr>
        <w:t>hủ trì</w:t>
      </w:r>
      <w:r w:rsidR="0018473E" w:rsidRPr="00E60EF1">
        <w:rPr>
          <w:sz w:val="28"/>
          <w:szCs w:val="28"/>
          <w:lang w:val="en-US"/>
        </w:rPr>
        <w:t>, phối hợp với các đơn vị liên quan</w:t>
      </w:r>
      <w:r w:rsidR="00E07E1A" w:rsidRPr="00E60EF1">
        <w:rPr>
          <w:sz w:val="28"/>
          <w:szCs w:val="28"/>
          <w:lang w:val="en-US"/>
        </w:rPr>
        <w:t xml:space="preserve"> </w:t>
      </w:r>
      <w:r w:rsidRPr="00E60EF1">
        <w:rPr>
          <w:sz w:val="28"/>
          <w:szCs w:val="28"/>
          <w:lang w:val="en-US"/>
        </w:rPr>
        <w:t xml:space="preserve">tham mưu </w:t>
      </w:r>
      <w:r w:rsidR="00E07E1A" w:rsidRPr="00E60EF1">
        <w:rPr>
          <w:sz w:val="28"/>
          <w:szCs w:val="28"/>
          <w:lang w:val="en-US"/>
        </w:rPr>
        <w:t>UBND tỉnh</w:t>
      </w:r>
      <w:r w:rsidRPr="00E60EF1">
        <w:rPr>
          <w:sz w:val="28"/>
          <w:szCs w:val="28"/>
        </w:rPr>
        <w:t xml:space="preserve"> xác định và công bố cụ thể cơ quan nhận bàn giao hạ tầng kỹ thuật trong các dự án khu đô thị, khu dân cư và dự án khác</w:t>
      </w:r>
      <w:r w:rsidR="00D7621A" w:rsidRPr="00E60EF1">
        <w:rPr>
          <w:sz w:val="28"/>
          <w:szCs w:val="28"/>
          <w:lang w:val="en-US"/>
        </w:rPr>
        <w:t xml:space="preserve"> theo quy định tại Khoản 4 Điều 3 Nghị định số 02/2024/NĐ-CP của Chính phủ</w:t>
      </w:r>
      <w:r w:rsidR="00E60EF1" w:rsidRPr="00E60EF1">
        <w:rPr>
          <w:sz w:val="28"/>
          <w:szCs w:val="28"/>
          <w:lang w:val="nl-NL"/>
        </w:rPr>
        <w:t>; c</w:t>
      </w:r>
      <w:r w:rsidR="0018473E" w:rsidRPr="00E60EF1">
        <w:rPr>
          <w:sz w:val="28"/>
          <w:szCs w:val="28"/>
          <w:lang w:val="nl-NL"/>
        </w:rPr>
        <w:t xml:space="preserve">hỉ đạo </w:t>
      </w:r>
      <w:r w:rsidR="00E60EF1" w:rsidRPr="00E60EF1">
        <w:rPr>
          <w:sz w:val="28"/>
          <w:szCs w:val="28"/>
          <w:lang w:val="nl-NL"/>
        </w:rPr>
        <w:t>đ</w:t>
      </w:r>
      <w:r w:rsidR="0018473E" w:rsidRPr="00E60EF1">
        <w:rPr>
          <w:sz w:val="28"/>
          <w:szCs w:val="28"/>
          <w:lang w:val="nl-NL"/>
        </w:rPr>
        <w:t xml:space="preserve">ơn vị được giao tiếp nhận hạng mục công trình điện tại các dự án Khu đô thị, Khu dân cư và các dự án khác phối hợp với Chủ đầu tư dự án, Công ty Điện lực Hà Tĩnh thực hiện điều chuyển hạng mục công trình điện theo đúng quy định tại Nghị định số 02/2024/NĐ-CP của Chính phủ. </w:t>
      </w:r>
    </w:p>
    <w:p w:rsidR="003A1C4E" w:rsidRPr="00E60EF1" w:rsidRDefault="00830C3D"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E60EF1">
        <w:rPr>
          <w:color w:val="000000"/>
          <w:sz w:val="28"/>
          <w:szCs w:val="28"/>
          <w:lang w:val="en-US"/>
        </w:rPr>
        <w:t xml:space="preserve">4. </w:t>
      </w:r>
      <w:r w:rsidR="003A1C4E" w:rsidRPr="00E60EF1">
        <w:rPr>
          <w:color w:val="000000"/>
          <w:sz w:val="28"/>
          <w:szCs w:val="28"/>
          <w:lang w:val="en-US"/>
        </w:rPr>
        <w:t>Sở Tài nguyên và Môi trường</w:t>
      </w:r>
      <w:r w:rsidR="00413166">
        <w:rPr>
          <w:color w:val="000000"/>
          <w:sz w:val="28"/>
          <w:szCs w:val="28"/>
          <w:lang w:val="en-US"/>
        </w:rPr>
        <w:t>: t</w:t>
      </w:r>
      <w:r w:rsidR="00F1550F" w:rsidRPr="00E60EF1">
        <w:rPr>
          <w:color w:val="000000"/>
          <w:sz w:val="28"/>
          <w:szCs w:val="28"/>
          <w:lang w:val="en-US"/>
        </w:rPr>
        <w:t xml:space="preserve">ham mưu UBND tỉnh </w:t>
      </w:r>
      <w:r w:rsidR="00D5664E" w:rsidRPr="00E60EF1">
        <w:rPr>
          <w:color w:val="000000"/>
          <w:sz w:val="28"/>
          <w:szCs w:val="28"/>
          <w:lang w:val="en-US"/>
        </w:rPr>
        <w:t>t</w:t>
      </w:r>
      <w:r w:rsidR="003A1C4E" w:rsidRPr="00E60EF1">
        <w:rPr>
          <w:color w:val="000000"/>
          <w:sz w:val="28"/>
          <w:szCs w:val="28"/>
        </w:rPr>
        <w:t xml:space="preserve">hực hiện chức năng quản lý nhà nước về đất </w:t>
      </w:r>
      <w:proofErr w:type="gramStart"/>
      <w:r w:rsidR="003A1C4E" w:rsidRPr="00E60EF1">
        <w:rPr>
          <w:color w:val="000000"/>
          <w:sz w:val="28"/>
          <w:szCs w:val="28"/>
        </w:rPr>
        <w:t>đai</w:t>
      </w:r>
      <w:proofErr w:type="gramEnd"/>
      <w:r w:rsidR="003A1C4E" w:rsidRPr="00E60EF1">
        <w:rPr>
          <w:color w:val="000000"/>
          <w:sz w:val="28"/>
          <w:szCs w:val="28"/>
        </w:rPr>
        <w:t xml:space="preserve"> đối với phần diện tích đất gắn với công trình điện chuyển giao theo quy định của pháp luật</w:t>
      </w:r>
      <w:r w:rsidR="003A1C4E" w:rsidRPr="00E60EF1">
        <w:rPr>
          <w:color w:val="000000"/>
          <w:sz w:val="28"/>
          <w:szCs w:val="28"/>
          <w:lang w:val="en-US"/>
        </w:rPr>
        <w:t>.</w:t>
      </w:r>
    </w:p>
    <w:p w:rsidR="006F0B46" w:rsidRDefault="00413166" w:rsidP="00413B55">
      <w:pPr>
        <w:pStyle w:val="NormalWeb"/>
        <w:shd w:val="clear" w:color="auto" w:fill="FFFFFF"/>
        <w:spacing w:before="60" w:beforeAutospacing="0" w:after="0" w:afterAutospacing="0" w:line="276" w:lineRule="auto"/>
        <w:ind w:firstLine="720"/>
        <w:jc w:val="both"/>
        <w:rPr>
          <w:color w:val="000000"/>
          <w:sz w:val="28"/>
          <w:szCs w:val="28"/>
          <w:lang w:val="en-US"/>
        </w:rPr>
      </w:pPr>
      <w:r>
        <w:rPr>
          <w:color w:val="000000"/>
          <w:sz w:val="28"/>
          <w:szCs w:val="28"/>
          <w:lang w:val="en-US"/>
        </w:rPr>
        <w:t xml:space="preserve">5. Sở Công Thương: </w:t>
      </w:r>
    </w:p>
    <w:p w:rsidR="00AD795C" w:rsidRDefault="006F0B46" w:rsidP="00413B55">
      <w:pPr>
        <w:pStyle w:val="NormalWeb"/>
        <w:shd w:val="clear" w:color="auto" w:fill="FFFFFF"/>
        <w:spacing w:before="60" w:beforeAutospacing="0" w:after="0" w:afterAutospacing="0" w:line="276" w:lineRule="auto"/>
        <w:ind w:firstLine="720"/>
        <w:jc w:val="both"/>
        <w:rPr>
          <w:color w:val="000000"/>
          <w:sz w:val="28"/>
          <w:szCs w:val="28"/>
          <w:lang w:val="en-US"/>
        </w:rPr>
      </w:pPr>
      <w:r>
        <w:rPr>
          <w:color w:val="000000"/>
          <w:sz w:val="28"/>
          <w:szCs w:val="28"/>
          <w:lang w:val="en-US"/>
        </w:rPr>
        <w:t xml:space="preserve">- Phối hợp với Công ty Điện lực Hà Tĩnh </w:t>
      </w:r>
      <w:r w:rsidRPr="006F0B46">
        <w:rPr>
          <w:color w:val="000000"/>
          <w:sz w:val="28"/>
          <w:szCs w:val="28"/>
          <w:lang w:val="en-US"/>
        </w:rPr>
        <w:t xml:space="preserve">hướng dẫn các chủ tài sản có nhu cầu bàn giao các công trình điện được đầu tư bằng nguồn vốn ngân sách Nhà nước đang thực hiện theo Quyết định số 41/2017/QĐ-TTg ngày 25/9/2017 </w:t>
      </w:r>
      <w:r w:rsidRPr="006F0B46">
        <w:rPr>
          <w:i/>
          <w:color w:val="000000"/>
          <w:sz w:val="28"/>
          <w:szCs w:val="28"/>
          <w:lang w:val="en-US"/>
        </w:rPr>
        <w:t>(Nghị định 02/2024/NĐ-CP có hiệu lực sẽ thay thế)</w:t>
      </w:r>
      <w:r>
        <w:rPr>
          <w:color w:val="000000"/>
          <w:sz w:val="28"/>
          <w:szCs w:val="28"/>
          <w:lang w:val="en-US"/>
        </w:rPr>
        <w:t xml:space="preserve"> thực hiện hiện thủ tục chuyển giao công trình điện theo quy định của </w:t>
      </w:r>
      <w:r w:rsidRPr="006F0B46">
        <w:rPr>
          <w:color w:val="000000"/>
          <w:sz w:val="28"/>
          <w:szCs w:val="28"/>
          <w:lang w:val="en-US"/>
        </w:rPr>
        <w:t>Nghị định 02/2024/NĐ-CP</w:t>
      </w:r>
      <w:r>
        <w:rPr>
          <w:color w:val="000000"/>
          <w:sz w:val="28"/>
          <w:szCs w:val="28"/>
          <w:lang w:val="en-US"/>
        </w:rPr>
        <w:t>.</w:t>
      </w:r>
    </w:p>
    <w:p w:rsidR="00D7621A" w:rsidRDefault="006F0B46" w:rsidP="00413B55">
      <w:pPr>
        <w:pStyle w:val="NormalWeb"/>
        <w:shd w:val="clear" w:color="auto" w:fill="FFFFFF"/>
        <w:spacing w:before="60" w:beforeAutospacing="0" w:after="0" w:afterAutospacing="0" w:line="276" w:lineRule="auto"/>
        <w:ind w:firstLine="720"/>
        <w:jc w:val="both"/>
        <w:rPr>
          <w:color w:val="000000"/>
          <w:sz w:val="28"/>
          <w:szCs w:val="28"/>
          <w:lang w:val="en-US"/>
        </w:rPr>
      </w:pPr>
      <w:r>
        <w:rPr>
          <w:color w:val="000000"/>
          <w:sz w:val="28"/>
          <w:szCs w:val="28"/>
          <w:lang w:val="en-US"/>
        </w:rPr>
        <w:t>- T</w:t>
      </w:r>
      <w:r w:rsidR="00D7621A" w:rsidRPr="00E60EF1">
        <w:rPr>
          <w:color w:val="000000"/>
          <w:sz w:val="28"/>
          <w:szCs w:val="28"/>
          <w:lang w:val="en-US"/>
        </w:rPr>
        <w:t xml:space="preserve">hực hiện nhiệm vụ quản lý nhà nước về điện lực </w:t>
      </w:r>
      <w:proofErr w:type="gramStart"/>
      <w:r w:rsidR="00D7621A" w:rsidRPr="00E60EF1">
        <w:rPr>
          <w:color w:val="000000"/>
          <w:sz w:val="28"/>
          <w:szCs w:val="28"/>
          <w:lang w:val="en-US"/>
        </w:rPr>
        <w:t>theo</w:t>
      </w:r>
      <w:proofErr w:type="gramEnd"/>
      <w:r w:rsidR="00D7621A" w:rsidRPr="00E60EF1">
        <w:rPr>
          <w:color w:val="000000"/>
          <w:sz w:val="28"/>
          <w:szCs w:val="28"/>
          <w:lang w:val="en-US"/>
        </w:rPr>
        <w:t xml:space="preserve"> quy định của pháp luật.</w:t>
      </w:r>
    </w:p>
    <w:p w:rsidR="00AD795C" w:rsidRPr="00E60EF1" w:rsidRDefault="00AD795C"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AD795C">
        <w:rPr>
          <w:color w:val="000000"/>
          <w:sz w:val="28"/>
          <w:szCs w:val="28"/>
          <w:lang w:val="en-US"/>
        </w:rPr>
        <w:t>- Tổng hợp, báo cáo</w:t>
      </w:r>
      <w:r w:rsidR="00E6267B">
        <w:rPr>
          <w:color w:val="000000"/>
          <w:sz w:val="28"/>
          <w:szCs w:val="28"/>
          <w:lang w:val="en-US"/>
        </w:rPr>
        <w:t xml:space="preserve">, </w:t>
      </w:r>
      <w:r w:rsidRPr="00AD795C">
        <w:rPr>
          <w:color w:val="000000"/>
          <w:sz w:val="28"/>
          <w:szCs w:val="28"/>
          <w:lang w:val="en-US"/>
        </w:rPr>
        <w:t>tham mưu đề xuất xử lý các khó khăn vướng mắc vượt thẩm quyền (nếu có).</w:t>
      </w:r>
    </w:p>
    <w:p w:rsidR="00D7621A" w:rsidRPr="00E60EF1" w:rsidRDefault="00D7621A"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E60EF1">
        <w:rPr>
          <w:color w:val="000000"/>
          <w:sz w:val="28"/>
          <w:szCs w:val="28"/>
          <w:lang w:val="en-US"/>
        </w:rPr>
        <w:t xml:space="preserve">6. </w:t>
      </w:r>
      <w:r w:rsidR="00413166">
        <w:rPr>
          <w:color w:val="000000"/>
          <w:sz w:val="28"/>
          <w:szCs w:val="28"/>
          <w:lang w:val="en-US"/>
        </w:rPr>
        <w:t>Công ty Điện lực Hà Tĩnh</w:t>
      </w:r>
      <w:r w:rsidR="004B3F04">
        <w:rPr>
          <w:color w:val="000000"/>
          <w:sz w:val="28"/>
          <w:szCs w:val="28"/>
          <w:lang w:val="en-US"/>
        </w:rPr>
        <w:t>:</w:t>
      </w:r>
    </w:p>
    <w:p w:rsidR="008D7679" w:rsidRPr="00E60EF1" w:rsidRDefault="00D7621A"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E60EF1">
        <w:rPr>
          <w:color w:val="000000"/>
          <w:sz w:val="28"/>
          <w:szCs w:val="28"/>
          <w:lang w:val="en-US"/>
        </w:rPr>
        <w:t xml:space="preserve">- </w:t>
      </w:r>
      <w:r w:rsidR="001740F1" w:rsidRPr="00E60EF1">
        <w:rPr>
          <w:color w:val="000000"/>
          <w:sz w:val="28"/>
          <w:szCs w:val="28"/>
          <w:lang w:val="en-US"/>
        </w:rPr>
        <w:t>Đ</w:t>
      </w:r>
      <w:r w:rsidR="008D7679" w:rsidRPr="00E60EF1">
        <w:rPr>
          <w:color w:val="000000"/>
          <w:sz w:val="28"/>
          <w:szCs w:val="28"/>
          <w:lang w:val="en-US"/>
        </w:rPr>
        <w:t xml:space="preserve">ơn </w:t>
      </w:r>
      <w:r w:rsidR="00F6378D">
        <w:rPr>
          <w:color w:val="000000"/>
          <w:sz w:val="28"/>
          <w:szCs w:val="28"/>
          <w:lang w:val="en-US"/>
        </w:rPr>
        <w:t xml:space="preserve">vị </w:t>
      </w:r>
      <w:r w:rsidR="008D7679" w:rsidRPr="00E60EF1">
        <w:rPr>
          <w:color w:val="000000"/>
          <w:sz w:val="28"/>
          <w:szCs w:val="28"/>
          <w:lang w:val="en-US"/>
        </w:rPr>
        <w:t xml:space="preserve">được Tập đoàn Điện lực Việt Nam, Tổng công ty </w:t>
      </w:r>
      <w:r w:rsidR="001740F1" w:rsidRPr="00E60EF1">
        <w:rPr>
          <w:color w:val="000000"/>
          <w:sz w:val="28"/>
          <w:szCs w:val="28"/>
          <w:lang w:val="en-US"/>
        </w:rPr>
        <w:t>Điện lự</w:t>
      </w:r>
      <w:r w:rsidR="008D7679" w:rsidRPr="00E60EF1">
        <w:rPr>
          <w:color w:val="000000"/>
          <w:sz w:val="28"/>
          <w:szCs w:val="28"/>
          <w:lang w:val="en-US"/>
        </w:rPr>
        <w:t xml:space="preserve">c miền Bắc uỷ quyền là Bên tiếp nhận; thực hiện tiếp nhận công trình điện là tài sản công </w:t>
      </w:r>
      <w:proofErr w:type="gramStart"/>
      <w:r w:rsidR="008D7679" w:rsidRPr="00E60EF1">
        <w:rPr>
          <w:color w:val="000000"/>
          <w:sz w:val="28"/>
          <w:szCs w:val="28"/>
          <w:lang w:val="en-US"/>
        </w:rPr>
        <w:t>theo</w:t>
      </w:r>
      <w:proofErr w:type="gramEnd"/>
      <w:r w:rsidR="008D7679" w:rsidRPr="00E60EF1">
        <w:rPr>
          <w:color w:val="000000"/>
          <w:sz w:val="28"/>
          <w:szCs w:val="28"/>
          <w:lang w:val="en-US"/>
        </w:rPr>
        <w:t xml:space="preserve"> quy định Nghị định số 02/2024/NĐ-CP của Chính phủ.</w:t>
      </w:r>
    </w:p>
    <w:p w:rsidR="00D7621A" w:rsidRPr="00E60EF1" w:rsidRDefault="008D7679"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E60EF1">
        <w:rPr>
          <w:color w:val="000000"/>
          <w:sz w:val="28"/>
          <w:szCs w:val="28"/>
          <w:lang w:val="en-US"/>
        </w:rPr>
        <w:t xml:space="preserve">- </w:t>
      </w:r>
      <w:r w:rsidR="001740F1" w:rsidRPr="00E60EF1">
        <w:rPr>
          <w:color w:val="000000"/>
          <w:sz w:val="28"/>
          <w:szCs w:val="28"/>
          <w:lang w:val="en-US"/>
        </w:rPr>
        <w:t xml:space="preserve">Chủ trì, phối hợp, hướng dẫn các chủ tài sản có nhu cầu bàn giao các công trình điện được đầu tư bằng nguồn vốn ngân sách Nhà nước đang thực hiện theo Quyết định số 41/2017/QĐ-TTg ngày 25/9/2017 </w:t>
      </w:r>
      <w:r w:rsidR="001740F1" w:rsidRPr="00E60EF1">
        <w:rPr>
          <w:i/>
          <w:color w:val="000000"/>
          <w:sz w:val="28"/>
          <w:szCs w:val="28"/>
          <w:lang w:val="en-US"/>
        </w:rPr>
        <w:t>(Nghị định 02/2024/NĐ-CP có hiệu lực sẽ thay thế)</w:t>
      </w:r>
      <w:r w:rsidR="001740F1" w:rsidRPr="00E60EF1">
        <w:rPr>
          <w:color w:val="000000"/>
          <w:sz w:val="28"/>
          <w:szCs w:val="28"/>
          <w:lang w:val="en-US"/>
        </w:rPr>
        <w:t xml:space="preserve"> và các công trình điện được đầu tư bằng nguồn vốn ngoài ngân sách Nhà nước theo hình thức không hoàn trả vốn chuẩn bị đầy đủ sẵn các hồ sơ tài liệu kỹ thuật, sổ sách kế toán, giấy tờ sử dụng đất… theo quy định của Nghị định 02/2024/NĐ-CP để chủ động triển khai thực hiện thủ tục chuyển giao ngay sau khi Nghị định 02/2024/NĐ-CP có hiệu lực thi hành.</w:t>
      </w:r>
    </w:p>
    <w:p w:rsidR="001740F1" w:rsidRPr="00E60EF1" w:rsidRDefault="001740F1" w:rsidP="00413B55">
      <w:pPr>
        <w:pStyle w:val="NormalWeb"/>
        <w:shd w:val="clear" w:color="auto" w:fill="FFFFFF"/>
        <w:spacing w:before="60" w:beforeAutospacing="0" w:after="0" w:afterAutospacing="0" w:line="276" w:lineRule="auto"/>
        <w:ind w:firstLine="720"/>
        <w:jc w:val="both"/>
        <w:rPr>
          <w:color w:val="000000"/>
          <w:sz w:val="28"/>
          <w:szCs w:val="28"/>
          <w:lang w:val="en-US"/>
        </w:rPr>
      </w:pPr>
      <w:r w:rsidRPr="00E60EF1">
        <w:rPr>
          <w:color w:val="000000"/>
          <w:sz w:val="28"/>
          <w:szCs w:val="28"/>
          <w:lang w:val="en-US"/>
        </w:rPr>
        <w:t xml:space="preserve">- Thực hiện các nhiệm vụ khác </w:t>
      </w:r>
      <w:r w:rsidR="004C3924" w:rsidRPr="00E60EF1">
        <w:rPr>
          <w:color w:val="000000"/>
          <w:sz w:val="28"/>
          <w:szCs w:val="28"/>
          <w:lang w:val="en-US"/>
        </w:rPr>
        <w:t xml:space="preserve">do Tập đoàn Điện lực Việt Nam và Tổng công ty Điện lực miền Bắc giao. </w:t>
      </w:r>
      <w:r w:rsidRPr="00E60EF1">
        <w:rPr>
          <w:color w:val="000000"/>
          <w:sz w:val="28"/>
          <w:szCs w:val="28"/>
          <w:lang w:val="en-US"/>
        </w:rPr>
        <w:t xml:space="preserve"> </w:t>
      </w:r>
    </w:p>
    <w:p w:rsidR="00054288" w:rsidRPr="00E60EF1" w:rsidRDefault="009121B4" w:rsidP="00413B55">
      <w:pPr>
        <w:spacing w:before="60" w:line="276" w:lineRule="auto"/>
        <w:ind w:firstLine="720"/>
        <w:jc w:val="both"/>
        <w:rPr>
          <w:lang w:eastAsia="vi-VN"/>
        </w:rPr>
      </w:pPr>
      <w:r w:rsidRPr="00E60EF1">
        <w:rPr>
          <w:lang w:eastAsia="vi-VN"/>
        </w:rPr>
        <w:lastRenderedPageBreak/>
        <w:t xml:space="preserve">Yêu cầu </w:t>
      </w:r>
      <w:r w:rsidR="00A51E79" w:rsidRPr="00E60EF1">
        <w:rPr>
          <w:lang w:val="nl-NL"/>
        </w:rPr>
        <w:t xml:space="preserve">các </w:t>
      </w:r>
      <w:r w:rsidRPr="00E60EF1">
        <w:rPr>
          <w:lang w:val="nl-NL"/>
        </w:rPr>
        <w:t>S</w:t>
      </w:r>
      <w:r w:rsidR="00A51E79" w:rsidRPr="00E60EF1">
        <w:rPr>
          <w:lang w:val="nl-NL"/>
        </w:rPr>
        <w:t>ở, ban, ngành</w:t>
      </w:r>
      <w:r w:rsidR="00413166">
        <w:rPr>
          <w:lang w:val="nl-NL"/>
        </w:rPr>
        <w:t>; c</w:t>
      </w:r>
      <w:r w:rsidR="00413166" w:rsidRPr="00413166">
        <w:rPr>
          <w:lang w:val="nl-NL"/>
        </w:rPr>
        <w:t>ác đơn vị lực vị lực lượng vũ trang nhân dân</w:t>
      </w:r>
      <w:r w:rsidR="00413166">
        <w:rPr>
          <w:lang w:val="nl-NL"/>
        </w:rPr>
        <w:t xml:space="preserve">; </w:t>
      </w:r>
      <w:r w:rsidR="00A51E79" w:rsidRPr="00E60EF1">
        <w:rPr>
          <w:lang w:val="nl-NL"/>
        </w:rPr>
        <w:t xml:space="preserve">UBND huyện, </w:t>
      </w:r>
      <w:r w:rsidR="00D5664E" w:rsidRPr="00E60EF1">
        <w:rPr>
          <w:lang w:val="nl-NL"/>
        </w:rPr>
        <w:t xml:space="preserve">thị xã, </w:t>
      </w:r>
      <w:r w:rsidR="00A51E79" w:rsidRPr="00E60EF1">
        <w:rPr>
          <w:lang w:val="nl-NL"/>
        </w:rPr>
        <w:t>thành phố</w:t>
      </w:r>
      <w:r w:rsidR="00413166">
        <w:rPr>
          <w:lang w:val="nl-NL"/>
        </w:rPr>
        <w:t>;</w:t>
      </w:r>
      <w:r w:rsidR="00E60EF1" w:rsidRPr="00E60EF1">
        <w:rPr>
          <w:lang w:val="nl-NL"/>
        </w:rPr>
        <w:t xml:space="preserve"> Công ty Điện lực Hà Tĩnh</w:t>
      </w:r>
      <w:r w:rsidR="00413B55">
        <w:rPr>
          <w:lang w:val="nl-NL"/>
        </w:rPr>
        <w:t>; các Chủ đầu tư công trình điện</w:t>
      </w:r>
      <w:r w:rsidR="00E60EF1" w:rsidRPr="00E60EF1">
        <w:rPr>
          <w:lang w:val="nl-NL"/>
        </w:rPr>
        <w:t xml:space="preserve"> </w:t>
      </w:r>
      <w:r w:rsidR="00D5664E" w:rsidRPr="00E60EF1">
        <w:rPr>
          <w:color w:val="000000"/>
          <w:shd w:val="clear" w:color="auto" w:fill="FFFFFF"/>
          <w:lang w:val="nl-NL"/>
        </w:rPr>
        <w:t>nghiêm túc</w:t>
      </w:r>
      <w:r w:rsidR="008847C9" w:rsidRPr="00E60EF1">
        <w:rPr>
          <w:color w:val="000000"/>
          <w:shd w:val="clear" w:color="auto" w:fill="FFFFFF"/>
          <w:lang w:val="vi-VN"/>
        </w:rPr>
        <w:t xml:space="preserve"> thực hiện</w:t>
      </w:r>
      <w:r w:rsidR="008847C9" w:rsidRPr="00E60EF1">
        <w:rPr>
          <w:lang w:val="vi-VN" w:eastAsia="vi-VN"/>
        </w:rPr>
        <w:t>./.</w:t>
      </w:r>
    </w:p>
    <w:tbl>
      <w:tblPr>
        <w:tblW w:w="9109" w:type="dxa"/>
        <w:jc w:val="center"/>
        <w:tblLayout w:type="fixed"/>
        <w:tblLook w:val="0000" w:firstRow="0" w:lastRow="0" w:firstColumn="0" w:lastColumn="0" w:noHBand="0" w:noVBand="0"/>
      </w:tblPr>
      <w:tblGrid>
        <w:gridCol w:w="4611"/>
        <w:gridCol w:w="4498"/>
      </w:tblGrid>
      <w:tr w:rsidR="00E60EF1" w:rsidRPr="00E60EF1" w:rsidTr="00684698">
        <w:trPr>
          <w:jc w:val="center"/>
        </w:trPr>
        <w:tc>
          <w:tcPr>
            <w:tcW w:w="4611" w:type="dxa"/>
          </w:tcPr>
          <w:p w:rsidR="00E60EF1" w:rsidRPr="00E60EF1" w:rsidRDefault="00E60EF1" w:rsidP="00E60EF1">
            <w:pPr>
              <w:rPr>
                <w:b/>
                <w:i/>
                <w:color w:val="000000"/>
                <w:sz w:val="24"/>
                <w:szCs w:val="20"/>
                <w:lang w:val="nl-NL"/>
              </w:rPr>
            </w:pPr>
            <w:r w:rsidRPr="00E60EF1">
              <w:rPr>
                <w:b/>
                <w:i/>
                <w:color w:val="000000"/>
                <w:sz w:val="24"/>
                <w:szCs w:val="20"/>
                <w:lang w:val="nl-NL"/>
              </w:rPr>
              <w:t>Nơi nhận:</w:t>
            </w:r>
          </w:p>
          <w:p w:rsidR="00E60EF1" w:rsidRPr="00E60EF1" w:rsidRDefault="00E60EF1" w:rsidP="00E60EF1">
            <w:pPr>
              <w:rPr>
                <w:color w:val="000000"/>
                <w:sz w:val="22"/>
                <w:szCs w:val="20"/>
                <w:lang w:val="nl-NL"/>
              </w:rPr>
            </w:pPr>
            <w:r w:rsidRPr="00E60EF1">
              <w:rPr>
                <w:color w:val="000000"/>
                <w:sz w:val="22"/>
                <w:szCs w:val="20"/>
                <w:lang w:val="nl-NL"/>
              </w:rPr>
              <w:t>- Như trên;</w:t>
            </w:r>
          </w:p>
          <w:p w:rsidR="00E60EF1" w:rsidRPr="00E60EF1" w:rsidRDefault="00E60EF1" w:rsidP="00E60EF1">
            <w:pPr>
              <w:rPr>
                <w:color w:val="000000"/>
                <w:sz w:val="22"/>
                <w:szCs w:val="20"/>
                <w:lang w:val="nl-NL"/>
              </w:rPr>
            </w:pPr>
            <w:r w:rsidRPr="00E60EF1">
              <w:rPr>
                <w:color w:val="000000"/>
                <w:sz w:val="22"/>
                <w:szCs w:val="20"/>
                <w:lang w:val="nl-NL"/>
              </w:rPr>
              <w:t>- Chủ tịch, các PCT UBND tỉnh;</w:t>
            </w:r>
          </w:p>
          <w:p w:rsidR="00E60EF1" w:rsidRPr="00E60EF1" w:rsidRDefault="00E60EF1" w:rsidP="00E60EF1">
            <w:pPr>
              <w:rPr>
                <w:color w:val="000000"/>
                <w:sz w:val="22"/>
                <w:szCs w:val="20"/>
                <w:lang w:val="nl-NL"/>
              </w:rPr>
            </w:pPr>
            <w:r w:rsidRPr="00E60EF1">
              <w:rPr>
                <w:color w:val="000000"/>
                <w:sz w:val="22"/>
                <w:szCs w:val="20"/>
                <w:lang w:val="nl-NL"/>
              </w:rPr>
              <w:t>- CVP, Phó CVP theo dõi lĩnh vực;</w:t>
            </w:r>
          </w:p>
          <w:p w:rsidR="00E60EF1" w:rsidRPr="00E60EF1" w:rsidRDefault="00E60EF1" w:rsidP="00E60EF1">
            <w:pPr>
              <w:rPr>
                <w:color w:val="000000"/>
                <w:sz w:val="22"/>
                <w:szCs w:val="20"/>
                <w:lang w:val="nl-NL"/>
              </w:rPr>
            </w:pPr>
            <w:r w:rsidRPr="00E60EF1">
              <w:rPr>
                <w:color w:val="000000"/>
                <w:sz w:val="22"/>
                <w:szCs w:val="20"/>
                <w:lang w:val="nl-NL"/>
              </w:rPr>
              <w:t>- TCT Điện lực miền Bắc;</w:t>
            </w:r>
          </w:p>
          <w:p w:rsidR="00E60EF1" w:rsidRPr="00E60EF1" w:rsidRDefault="00E60EF1" w:rsidP="00E60EF1">
            <w:pPr>
              <w:rPr>
                <w:color w:val="000000"/>
                <w:sz w:val="22"/>
                <w:szCs w:val="20"/>
                <w:lang w:val="nl-NL"/>
              </w:rPr>
            </w:pPr>
            <w:r w:rsidRPr="00E60EF1">
              <w:rPr>
                <w:color w:val="000000"/>
                <w:sz w:val="22"/>
                <w:szCs w:val="20"/>
                <w:lang w:val="nl-NL"/>
              </w:rPr>
              <w:t>- Trung tâm CB - TH tỉnh;</w:t>
            </w:r>
          </w:p>
          <w:p w:rsidR="00E60EF1" w:rsidRPr="00E60EF1" w:rsidRDefault="00E60EF1" w:rsidP="00E60EF1">
            <w:pPr>
              <w:rPr>
                <w:color w:val="000000"/>
                <w:sz w:val="22"/>
                <w:szCs w:val="20"/>
                <w:lang w:val="en-AU"/>
              </w:rPr>
            </w:pPr>
            <w:r w:rsidRPr="00E60EF1">
              <w:rPr>
                <w:color w:val="000000"/>
                <w:sz w:val="22"/>
                <w:szCs w:val="20"/>
                <w:lang w:val="nl-NL"/>
              </w:rPr>
              <w:t>- Lưu: VT, KT</w:t>
            </w:r>
            <w:r w:rsidRPr="00E60EF1">
              <w:rPr>
                <w:color w:val="000000"/>
                <w:sz w:val="24"/>
                <w:szCs w:val="20"/>
                <w:vertAlign w:val="subscript"/>
                <w:lang w:val="nl-NL"/>
              </w:rPr>
              <w:t>2</w:t>
            </w:r>
            <w:r w:rsidRPr="00E60EF1">
              <w:rPr>
                <w:color w:val="000000"/>
                <w:sz w:val="22"/>
                <w:szCs w:val="20"/>
                <w:lang w:val="nl-NL"/>
              </w:rPr>
              <w:t>.</w:t>
            </w:r>
          </w:p>
        </w:tc>
        <w:tc>
          <w:tcPr>
            <w:tcW w:w="4498" w:type="dxa"/>
          </w:tcPr>
          <w:p w:rsidR="00E60EF1" w:rsidRDefault="00E60EF1" w:rsidP="00E60EF1">
            <w:pPr>
              <w:jc w:val="center"/>
              <w:rPr>
                <w:b/>
                <w:color w:val="000000"/>
                <w:sz w:val="26"/>
                <w:szCs w:val="20"/>
                <w:lang w:val="en-AU"/>
              </w:rPr>
            </w:pPr>
            <w:r>
              <w:rPr>
                <w:b/>
                <w:color w:val="000000"/>
                <w:sz w:val="26"/>
                <w:szCs w:val="20"/>
                <w:lang w:val="en-AU"/>
              </w:rPr>
              <w:t>TM. U</w:t>
            </w:r>
            <w:r w:rsidR="009523EE">
              <w:rPr>
                <w:b/>
                <w:color w:val="000000"/>
                <w:sz w:val="26"/>
                <w:szCs w:val="20"/>
                <w:lang w:val="en-AU"/>
              </w:rPr>
              <w:t>Ỷ BAN NHÂN DÂN</w:t>
            </w:r>
          </w:p>
          <w:p w:rsidR="00E60EF1" w:rsidRPr="00E60EF1" w:rsidRDefault="00E60EF1" w:rsidP="00E60EF1">
            <w:pPr>
              <w:jc w:val="center"/>
              <w:rPr>
                <w:b/>
                <w:color w:val="000000"/>
                <w:sz w:val="26"/>
                <w:szCs w:val="20"/>
                <w:lang w:val="en-AU"/>
              </w:rPr>
            </w:pPr>
            <w:r w:rsidRPr="00E60EF1">
              <w:rPr>
                <w:b/>
                <w:color w:val="000000"/>
                <w:sz w:val="26"/>
                <w:szCs w:val="20"/>
                <w:lang w:val="en-AU"/>
              </w:rPr>
              <w:t>KT. CHỦ TỊCH</w:t>
            </w:r>
          </w:p>
          <w:p w:rsidR="00E60EF1" w:rsidRPr="00E60EF1" w:rsidRDefault="00E60EF1" w:rsidP="00E60EF1">
            <w:pPr>
              <w:jc w:val="center"/>
              <w:rPr>
                <w:b/>
                <w:color w:val="000000"/>
                <w:sz w:val="26"/>
                <w:szCs w:val="20"/>
                <w:lang w:val="en-AU"/>
              </w:rPr>
            </w:pPr>
            <w:r w:rsidRPr="00E60EF1">
              <w:rPr>
                <w:b/>
                <w:color w:val="000000"/>
                <w:sz w:val="26"/>
                <w:szCs w:val="20"/>
                <w:lang w:val="en-AU"/>
              </w:rPr>
              <w:t>PHÓ CHỦ TỊCH</w:t>
            </w:r>
          </w:p>
          <w:p w:rsidR="00E60EF1" w:rsidRPr="00E60EF1" w:rsidRDefault="00E60EF1" w:rsidP="00E60EF1">
            <w:pPr>
              <w:jc w:val="center"/>
              <w:rPr>
                <w:b/>
                <w:color w:val="000000"/>
                <w:sz w:val="26"/>
                <w:szCs w:val="20"/>
                <w:lang w:val="en-AU"/>
              </w:rPr>
            </w:pPr>
          </w:p>
          <w:p w:rsidR="00E60EF1" w:rsidRPr="00E60EF1" w:rsidRDefault="00E60EF1" w:rsidP="00E60EF1">
            <w:pPr>
              <w:jc w:val="center"/>
              <w:rPr>
                <w:b/>
                <w:color w:val="000000"/>
                <w:sz w:val="40"/>
                <w:szCs w:val="20"/>
                <w:lang w:val="en-AU"/>
              </w:rPr>
            </w:pPr>
          </w:p>
          <w:p w:rsidR="00E60EF1" w:rsidRPr="00E60EF1" w:rsidRDefault="00E60EF1" w:rsidP="00E60EF1">
            <w:pPr>
              <w:jc w:val="center"/>
              <w:rPr>
                <w:b/>
                <w:color w:val="000000"/>
                <w:lang w:val="en-AU"/>
              </w:rPr>
            </w:pPr>
          </w:p>
          <w:p w:rsidR="00E60EF1" w:rsidRPr="00E60EF1" w:rsidRDefault="00E60EF1" w:rsidP="00E60EF1">
            <w:pPr>
              <w:rPr>
                <w:b/>
                <w:color w:val="000000"/>
                <w:sz w:val="48"/>
                <w:lang w:val="en-AU"/>
              </w:rPr>
            </w:pPr>
          </w:p>
          <w:p w:rsidR="00E60EF1" w:rsidRPr="00E60EF1" w:rsidRDefault="00E60EF1" w:rsidP="00E60EF1">
            <w:pPr>
              <w:jc w:val="center"/>
              <w:rPr>
                <w:b/>
                <w:color w:val="000000"/>
                <w:lang w:val="en-AU"/>
              </w:rPr>
            </w:pPr>
            <w:r w:rsidRPr="00E60EF1">
              <w:rPr>
                <w:b/>
                <w:color w:val="000000"/>
                <w:lang w:val="en-AU"/>
              </w:rPr>
              <w:t>Trần  Báu  Hà</w:t>
            </w:r>
          </w:p>
        </w:tc>
      </w:tr>
    </w:tbl>
    <w:p w:rsidR="003C18DC" w:rsidRPr="009A13BB" w:rsidRDefault="003C18DC" w:rsidP="0028671C">
      <w:pPr>
        <w:spacing w:line="252" w:lineRule="auto"/>
        <w:jc w:val="both"/>
        <w:rPr>
          <w:lang w:val="nl-NL"/>
        </w:rPr>
      </w:pPr>
    </w:p>
    <w:sectPr w:rsidR="003C18DC" w:rsidRPr="009A13BB" w:rsidSect="00092EA6">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81" w:rsidRDefault="00B34381">
      <w:r>
        <w:separator/>
      </w:r>
    </w:p>
  </w:endnote>
  <w:endnote w:type="continuationSeparator" w:id="0">
    <w:p w:rsidR="00B34381" w:rsidRDefault="00B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CC" w:rsidRDefault="002077CC" w:rsidP="00A51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7CC" w:rsidRDefault="00207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81" w:rsidRDefault="00B34381">
      <w:r>
        <w:separator/>
      </w:r>
    </w:p>
  </w:footnote>
  <w:footnote w:type="continuationSeparator" w:id="0">
    <w:p w:rsidR="00B34381" w:rsidRDefault="00B34381">
      <w:r>
        <w:continuationSeparator/>
      </w:r>
    </w:p>
  </w:footnote>
  <w:footnote w:id="1">
    <w:p w:rsidR="00EF4E2D" w:rsidRDefault="00EF4E2D">
      <w:pPr>
        <w:pStyle w:val="FootnoteText"/>
      </w:pPr>
      <w:r>
        <w:rPr>
          <w:rStyle w:val="FootnoteReference"/>
        </w:rPr>
        <w:footnoteRef/>
      </w:r>
      <w:r>
        <w:t>: Quy định tại Khoản 2, Đ</w:t>
      </w:r>
      <w:r w:rsidRPr="00EF4E2D">
        <w:t>iều 1</w:t>
      </w:r>
      <w:r>
        <w:t xml:space="preserve">, Nghị định số 02/2024/NĐ-CP ngày 10/01/2024 của Chính phủ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A6" w:rsidRDefault="00092EA6" w:rsidP="00092EA6">
    <w:pPr>
      <w:pStyle w:val="Header"/>
      <w:jc w:val="center"/>
    </w:pPr>
    <w:r>
      <w:fldChar w:fldCharType="begin"/>
    </w:r>
    <w:r>
      <w:instrText xml:space="preserve"> PAGE   \* MERGEFORMAT </w:instrText>
    </w:r>
    <w:r>
      <w:fldChar w:fldCharType="separate"/>
    </w:r>
    <w:r w:rsidR="000224D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7E3"/>
    <w:multiLevelType w:val="hybridMultilevel"/>
    <w:tmpl w:val="85C085AE"/>
    <w:lvl w:ilvl="0" w:tplc="02026DF0">
      <w:start w:val="1"/>
      <w:numFmt w:val="decimal"/>
      <w:lvlText w:val="%1."/>
      <w:lvlJc w:val="left"/>
      <w:pPr>
        <w:tabs>
          <w:tab w:val="num" w:pos="893"/>
        </w:tabs>
        <w:ind w:left="893" w:hanging="360"/>
      </w:pPr>
      <w:rPr>
        <w:rFonts w:hint="default"/>
        <w:b w:val="0"/>
        <w:i w:val="0"/>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1">
    <w:nsid w:val="06CE4B15"/>
    <w:multiLevelType w:val="hybridMultilevel"/>
    <w:tmpl w:val="0D68A166"/>
    <w:lvl w:ilvl="0" w:tplc="1188EA6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756362"/>
    <w:multiLevelType w:val="hybridMultilevel"/>
    <w:tmpl w:val="1A2424EC"/>
    <w:lvl w:ilvl="0" w:tplc="124643E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F5F4E46"/>
    <w:multiLevelType w:val="hybridMultilevel"/>
    <w:tmpl w:val="31D0470E"/>
    <w:lvl w:ilvl="0" w:tplc="5DFE2F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19F41EC"/>
    <w:multiLevelType w:val="hybridMultilevel"/>
    <w:tmpl w:val="F4D4205A"/>
    <w:lvl w:ilvl="0" w:tplc="ACB2BECA">
      <w:start w:val="1"/>
      <w:numFmt w:val="decimal"/>
      <w:lvlText w:val="%1."/>
      <w:lvlJc w:val="left"/>
      <w:pPr>
        <w:tabs>
          <w:tab w:val="num" w:pos="893"/>
        </w:tabs>
        <w:ind w:left="893" w:hanging="360"/>
      </w:pPr>
      <w:rPr>
        <w:rFonts w:hint="default"/>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19"/>
    <w:rsid w:val="00000A19"/>
    <w:rsid w:val="000045FB"/>
    <w:rsid w:val="0000494F"/>
    <w:rsid w:val="00005916"/>
    <w:rsid w:val="0000775D"/>
    <w:rsid w:val="0001472A"/>
    <w:rsid w:val="00015AA2"/>
    <w:rsid w:val="00015BA0"/>
    <w:rsid w:val="0001664D"/>
    <w:rsid w:val="000224D2"/>
    <w:rsid w:val="000225CE"/>
    <w:rsid w:val="00023049"/>
    <w:rsid w:val="00025F42"/>
    <w:rsid w:val="000273F4"/>
    <w:rsid w:val="000312CA"/>
    <w:rsid w:val="0003714A"/>
    <w:rsid w:val="00037A9B"/>
    <w:rsid w:val="00041282"/>
    <w:rsid w:val="0004215E"/>
    <w:rsid w:val="00054288"/>
    <w:rsid w:val="0005641F"/>
    <w:rsid w:val="00064FDA"/>
    <w:rsid w:val="000651EF"/>
    <w:rsid w:val="00070A7D"/>
    <w:rsid w:val="000724BB"/>
    <w:rsid w:val="00077523"/>
    <w:rsid w:val="000800DE"/>
    <w:rsid w:val="0008602A"/>
    <w:rsid w:val="0009064A"/>
    <w:rsid w:val="00091378"/>
    <w:rsid w:val="00091CB3"/>
    <w:rsid w:val="00092EA6"/>
    <w:rsid w:val="00096E32"/>
    <w:rsid w:val="00096F19"/>
    <w:rsid w:val="000A0F66"/>
    <w:rsid w:val="000A5017"/>
    <w:rsid w:val="000B40B1"/>
    <w:rsid w:val="000B43B9"/>
    <w:rsid w:val="000B5A86"/>
    <w:rsid w:val="000B628E"/>
    <w:rsid w:val="000B745C"/>
    <w:rsid w:val="000C60C9"/>
    <w:rsid w:val="000C6730"/>
    <w:rsid w:val="000C6B5A"/>
    <w:rsid w:val="000E08D2"/>
    <w:rsid w:val="000E1742"/>
    <w:rsid w:val="000E2168"/>
    <w:rsid w:val="000E34F7"/>
    <w:rsid w:val="000E4059"/>
    <w:rsid w:val="000E4332"/>
    <w:rsid w:val="000E701D"/>
    <w:rsid w:val="000F5928"/>
    <w:rsid w:val="0010065D"/>
    <w:rsid w:val="001052E1"/>
    <w:rsid w:val="00106BEB"/>
    <w:rsid w:val="00112C7B"/>
    <w:rsid w:val="00113D9B"/>
    <w:rsid w:val="00114944"/>
    <w:rsid w:val="001210F1"/>
    <w:rsid w:val="001242B7"/>
    <w:rsid w:val="00125BFC"/>
    <w:rsid w:val="0013192F"/>
    <w:rsid w:val="00132C3C"/>
    <w:rsid w:val="00147ED3"/>
    <w:rsid w:val="00147EE5"/>
    <w:rsid w:val="00147F42"/>
    <w:rsid w:val="00151875"/>
    <w:rsid w:val="0015200E"/>
    <w:rsid w:val="001553E3"/>
    <w:rsid w:val="0016210C"/>
    <w:rsid w:val="001624F4"/>
    <w:rsid w:val="00164943"/>
    <w:rsid w:val="00166AD0"/>
    <w:rsid w:val="00167D4E"/>
    <w:rsid w:val="00171BE0"/>
    <w:rsid w:val="001740F1"/>
    <w:rsid w:val="00175360"/>
    <w:rsid w:val="0018473E"/>
    <w:rsid w:val="001868BE"/>
    <w:rsid w:val="00187C8F"/>
    <w:rsid w:val="0019593D"/>
    <w:rsid w:val="00196D9B"/>
    <w:rsid w:val="001A008B"/>
    <w:rsid w:val="001A0C46"/>
    <w:rsid w:val="001A2763"/>
    <w:rsid w:val="001A5817"/>
    <w:rsid w:val="001A7275"/>
    <w:rsid w:val="001B3C5F"/>
    <w:rsid w:val="001B3D3A"/>
    <w:rsid w:val="001B4506"/>
    <w:rsid w:val="001B6395"/>
    <w:rsid w:val="001C0ADA"/>
    <w:rsid w:val="001C0BDE"/>
    <w:rsid w:val="001C21A2"/>
    <w:rsid w:val="001C33FF"/>
    <w:rsid w:val="001C5EA8"/>
    <w:rsid w:val="001D0A40"/>
    <w:rsid w:val="001D207A"/>
    <w:rsid w:val="001D351C"/>
    <w:rsid w:val="001D4703"/>
    <w:rsid w:val="001D5440"/>
    <w:rsid w:val="001D5A17"/>
    <w:rsid w:val="001D6424"/>
    <w:rsid w:val="001F1A38"/>
    <w:rsid w:val="001F2CB9"/>
    <w:rsid w:val="001F5BE6"/>
    <w:rsid w:val="0020032F"/>
    <w:rsid w:val="00200DA3"/>
    <w:rsid w:val="0020326F"/>
    <w:rsid w:val="002040E0"/>
    <w:rsid w:val="002077CC"/>
    <w:rsid w:val="0021058A"/>
    <w:rsid w:val="0021059E"/>
    <w:rsid w:val="00212619"/>
    <w:rsid w:val="00212626"/>
    <w:rsid w:val="00214AE2"/>
    <w:rsid w:val="00214C52"/>
    <w:rsid w:val="00216D90"/>
    <w:rsid w:val="00217856"/>
    <w:rsid w:val="00217A6F"/>
    <w:rsid w:val="00220C38"/>
    <w:rsid w:val="002219DA"/>
    <w:rsid w:val="002243D3"/>
    <w:rsid w:val="00224B70"/>
    <w:rsid w:val="0022555D"/>
    <w:rsid w:val="002256A2"/>
    <w:rsid w:val="00231C39"/>
    <w:rsid w:val="00232123"/>
    <w:rsid w:val="00232B9B"/>
    <w:rsid w:val="00234C0D"/>
    <w:rsid w:val="00236E93"/>
    <w:rsid w:val="0023716A"/>
    <w:rsid w:val="00237268"/>
    <w:rsid w:val="002407EF"/>
    <w:rsid w:val="00242AB4"/>
    <w:rsid w:val="002451DA"/>
    <w:rsid w:val="00245758"/>
    <w:rsid w:val="00246D0D"/>
    <w:rsid w:val="00260A1D"/>
    <w:rsid w:val="00261031"/>
    <w:rsid w:val="00265F93"/>
    <w:rsid w:val="002741FF"/>
    <w:rsid w:val="0027435D"/>
    <w:rsid w:val="002845F0"/>
    <w:rsid w:val="00285535"/>
    <w:rsid w:val="00285D7F"/>
    <w:rsid w:val="0028671C"/>
    <w:rsid w:val="00297A51"/>
    <w:rsid w:val="002A005E"/>
    <w:rsid w:val="002A27B1"/>
    <w:rsid w:val="002A7291"/>
    <w:rsid w:val="002A752B"/>
    <w:rsid w:val="002B2768"/>
    <w:rsid w:val="002B4B78"/>
    <w:rsid w:val="002C2242"/>
    <w:rsid w:val="002C3260"/>
    <w:rsid w:val="002C3A63"/>
    <w:rsid w:val="002C5902"/>
    <w:rsid w:val="002C7149"/>
    <w:rsid w:val="002C7C98"/>
    <w:rsid w:val="002D0033"/>
    <w:rsid w:val="002D0336"/>
    <w:rsid w:val="002E2B55"/>
    <w:rsid w:val="002E72BB"/>
    <w:rsid w:val="002F2DCA"/>
    <w:rsid w:val="002F68C6"/>
    <w:rsid w:val="003017AE"/>
    <w:rsid w:val="00305D25"/>
    <w:rsid w:val="003105CD"/>
    <w:rsid w:val="00311014"/>
    <w:rsid w:val="003115E2"/>
    <w:rsid w:val="003171D8"/>
    <w:rsid w:val="00317BD7"/>
    <w:rsid w:val="003206E1"/>
    <w:rsid w:val="00320FF3"/>
    <w:rsid w:val="003306FB"/>
    <w:rsid w:val="00330B53"/>
    <w:rsid w:val="003323E4"/>
    <w:rsid w:val="00335176"/>
    <w:rsid w:val="003355BE"/>
    <w:rsid w:val="00335B02"/>
    <w:rsid w:val="00340650"/>
    <w:rsid w:val="00340EC5"/>
    <w:rsid w:val="003421E7"/>
    <w:rsid w:val="00344250"/>
    <w:rsid w:val="0035275D"/>
    <w:rsid w:val="003527C7"/>
    <w:rsid w:val="003537AB"/>
    <w:rsid w:val="003556AD"/>
    <w:rsid w:val="0035626D"/>
    <w:rsid w:val="00356EA7"/>
    <w:rsid w:val="00360056"/>
    <w:rsid w:val="0036049A"/>
    <w:rsid w:val="0036314A"/>
    <w:rsid w:val="0036456B"/>
    <w:rsid w:val="00364B47"/>
    <w:rsid w:val="00364E4D"/>
    <w:rsid w:val="003657B9"/>
    <w:rsid w:val="00367A6B"/>
    <w:rsid w:val="003713BA"/>
    <w:rsid w:val="003806F8"/>
    <w:rsid w:val="003843F3"/>
    <w:rsid w:val="00384C52"/>
    <w:rsid w:val="003A098E"/>
    <w:rsid w:val="003A1C4E"/>
    <w:rsid w:val="003A41A4"/>
    <w:rsid w:val="003A6A34"/>
    <w:rsid w:val="003B12D0"/>
    <w:rsid w:val="003B49EC"/>
    <w:rsid w:val="003B4AE1"/>
    <w:rsid w:val="003B62F2"/>
    <w:rsid w:val="003B6505"/>
    <w:rsid w:val="003B6D37"/>
    <w:rsid w:val="003C0BA9"/>
    <w:rsid w:val="003C18DC"/>
    <w:rsid w:val="003C36BC"/>
    <w:rsid w:val="003D3FC9"/>
    <w:rsid w:val="003E797F"/>
    <w:rsid w:val="003F05CD"/>
    <w:rsid w:val="003F09E5"/>
    <w:rsid w:val="003F385C"/>
    <w:rsid w:val="003F3ADE"/>
    <w:rsid w:val="003F4F0B"/>
    <w:rsid w:val="003F734F"/>
    <w:rsid w:val="003F7742"/>
    <w:rsid w:val="0040359E"/>
    <w:rsid w:val="00406AB1"/>
    <w:rsid w:val="00410DDA"/>
    <w:rsid w:val="00411877"/>
    <w:rsid w:val="00413166"/>
    <w:rsid w:val="004139EB"/>
    <w:rsid w:val="00413B55"/>
    <w:rsid w:val="004216D1"/>
    <w:rsid w:val="00421AAF"/>
    <w:rsid w:val="004262B8"/>
    <w:rsid w:val="00433A5D"/>
    <w:rsid w:val="004401C7"/>
    <w:rsid w:val="0044088A"/>
    <w:rsid w:val="0044301C"/>
    <w:rsid w:val="00444104"/>
    <w:rsid w:val="00445280"/>
    <w:rsid w:val="00453CC9"/>
    <w:rsid w:val="00456A7A"/>
    <w:rsid w:val="00457A9B"/>
    <w:rsid w:val="00457E3E"/>
    <w:rsid w:val="004618CD"/>
    <w:rsid w:val="00463236"/>
    <w:rsid w:val="00463D01"/>
    <w:rsid w:val="0046609F"/>
    <w:rsid w:val="004668B4"/>
    <w:rsid w:val="004714F6"/>
    <w:rsid w:val="00473E04"/>
    <w:rsid w:val="004768E0"/>
    <w:rsid w:val="00477F80"/>
    <w:rsid w:val="0048171B"/>
    <w:rsid w:val="004838F1"/>
    <w:rsid w:val="00485A94"/>
    <w:rsid w:val="00487DD5"/>
    <w:rsid w:val="0049297A"/>
    <w:rsid w:val="004A0EE4"/>
    <w:rsid w:val="004A6430"/>
    <w:rsid w:val="004B0A5B"/>
    <w:rsid w:val="004B3BAC"/>
    <w:rsid w:val="004B3F04"/>
    <w:rsid w:val="004B6B06"/>
    <w:rsid w:val="004C2C32"/>
    <w:rsid w:val="004C3924"/>
    <w:rsid w:val="004C7687"/>
    <w:rsid w:val="004D261C"/>
    <w:rsid w:val="004D3266"/>
    <w:rsid w:val="004D79B7"/>
    <w:rsid w:val="004E07FD"/>
    <w:rsid w:val="004E1C39"/>
    <w:rsid w:val="004E60A5"/>
    <w:rsid w:val="004E728B"/>
    <w:rsid w:val="004F1B0D"/>
    <w:rsid w:val="0050203C"/>
    <w:rsid w:val="005062FD"/>
    <w:rsid w:val="00511031"/>
    <w:rsid w:val="005113EA"/>
    <w:rsid w:val="00512E27"/>
    <w:rsid w:val="00513BD9"/>
    <w:rsid w:val="005159F7"/>
    <w:rsid w:val="00516DC7"/>
    <w:rsid w:val="0052181F"/>
    <w:rsid w:val="005257B0"/>
    <w:rsid w:val="00525F31"/>
    <w:rsid w:val="00532A76"/>
    <w:rsid w:val="005330D6"/>
    <w:rsid w:val="00541580"/>
    <w:rsid w:val="005449E4"/>
    <w:rsid w:val="00544C05"/>
    <w:rsid w:val="00545B2A"/>
    <w:rsid w:val="0054648D"/>
    <w:rsid w:val="00546B5E"/>
    <w:rsid w:val="005470A2"/>
    <w:rsid w:val="00554F9B"/>
    <w:rsid w:val="00557152"/>
    <w:rsid w:val="00560E51"/>
    <w:rsid w:val="00562B2B"/>
    <w:rsid w:val="0056520D"/>
    <w:rsid w:val="0057050B"/>
    <w:rsid w:val="005718A3"/>
    <w:rsid w:val="00573429"/>
    <w:rsid w:val="00574A7A"/>
    <w:rsid w:val="00577336"/>
    <w:rsid w:val="005805C2"/>
    <w:rsid w:val="00580981"/>
    <w:rsid w:val="00581A2B"/>
    <w:rsid w:val="00583AF3"/>
    <w:rsid w:val="00590684"/>
    <w:rsid w:val="00590719"/>
    <w:rsid w:val="0059406C"/>
    <w:rsid w:val="005A0135"/>
    <w:rsid w:val="005A388E"/>
    <w:rsid w:val="005A5367"/>
    <w:rsid w:val="005B2A57"/>
    <w:rsid w:val="005B416D"/>
    <w:rsid w:val="005C479A"/>
    <w:rsid w:val="005C4838"/>
    <w:rsid w:val="005C59A5"/>
    <w:rsid w:val="005C6FE1"/>
    <w:rsid w:val="005D0A9B"/>
    <w:rsid w:val="005D0D21"/>
    <w:rsid w:val="005D3531"/>
    <w:rsid w:val="005D430C"/>
    <w:rsid w:val="005D588E"/>
    <w:rsid w:val="005D7073"/>
    <w:rsid w:val="005E0766"/>
    <w:rsid w:val="005E0C17"/>
    <w:rsid w:val="005E6054"/>
    <w:rsid w:val="005E6756"/>
    <w:rsid w:val="005F0A75"/>
    <w:rsid w:val="005F5E20"/>
    <w:rsid w:val="005F712D"/>
    <w:rsid w:val="00605AE4"/>
    <w:rsid w:val="00606D93"/>
    <w:rsid w:val="00613D73"/>
    <w:rsid w:val="0061471D"/>
    <w:rsid w:val="00614B7C"/>
    <w:rsid w:val="00632A4C"/>
    <w:rsid w:val="006332F8"/>
    <w:rsid w:val="00634947"/>
    <w:rsid w:val="00644D06"/>
    <w:rsid w:val="006455D1"/>
    <w:rsid w:val="006468E4"/>
    <w:rsid w:val="00650A11"/>
    <w:rsid w:val="00656151"/>
    <w:rsid w:val="006565CC"/>
    <w:rsid w:val="006638CF"/>
    <w:rsid w:val="006655A2"/>
    <w:rsid w:val="0067179E"/>
    <w:rsid w:val="00671A34"/>
    <w:rsid w:val="00675682"/>
    <w:rsid w:val="006765FA"/>
    <w:rsid w:val="00684698"/>
    <w:rsid w:val="00687DDA"/>
    <w:rsid w:val="006911CC"/>
    <w:rsid w:val="00697437"/>
    <w:rsid w:val="006A32BC"/>
    <w:rsid w:val="006A350F"/>
    <w:rsid w:val="006B2211"/>
    <w:rsid w:val="006B3986"/>
    <w:rsid w:val="006B6429"/>
    <w:rsid w:val="006B651E"/>
    <w:rsid w:val="006B7F97"/>
    <w:rsid w:val="006C3061"/>
    <w:rsid w:val="006D1A1E"/>
    <w:rsid w:val="006D2662"/>
    <w:rsid w:val="006D29D5"/>
    <w:rsid w:val="006D54B6"/>
    <w:rsid w:val="006E080C"/>
    <w:rsid w:val="006E138F"/>
    <w:rsid w:val="006E3665"/>
    <w:rsid w:val="006E4E4C"/>
    <w:rsid w:val="006E6450"/>
    <w:rsid w:val="006F08D5"/>
    <w:rsid w:val="006F0B46"/>
    <w:rsid w:val="006F165E"/>
    <w:rsid w:val="006F2778"/>
    <w:rsid w:val="006F61ED"/>
    <w:rsid w:val="006F69FC"/>
    <w:rsid w:val="00703FA6"/>
    <w:rsid w:val="0070431E"/>
    <w:rsid w:val="00705BAA"/>
    <w:rsid w:val="00706926"/>
    <w:rsid w:val="0071302C"/>
    <w:rsid w:val="007145DC"/>
    <w:rsid w:val="00716DBD"/>
    <w:rsid w:val="00721163"/>
    <w:rsid w:val="00721712"/>
    <w:rsid w:val="0073013C"/>
    <w:rsid w:val="007324E0"/>
    <w:rsid w:val="00733513"/>
    <w:rsid w:val="00736E70"/>
    <w:rsid w:val="007376D5"/>
    <w:rsid w:val="007418AA"/>
    <w:rsid w:val="00741DF6"/>
    <w:rsid w:val="0074485E"/>
    <w:rsid w:val="007528F4"/>
    <w:rsid w:val="007532AC"/>
    <w:rsid w:val="00757E2B"/>
    <w:rsid w:val="0076681E"/>
    <w:rsid w:val="00770806"/>
    <w:rsid w:val="00773BDB"/>
    <w:rsid w:val="00784E44"/>
    <w:rsid w:val="00785415"/>
    <w:rsid w:val="0079250E"/>
    <w:rsid w:val="007929A2"/>
    <w:rsid w:val="00797B2A"/>
    <w:rsid w:val="007A01DA"/>
    <w:rsid w:val="007A2606"/>
    <w:rsid w:val="007B2A4F"/>
    <w:rsid w:val="007B2F2A"/>
    <w:rsid w:val="007B6125"/>
    <w:rsid w:val="007B6D51"/>
    <w:rsid w:val="007B78DB"/>
    <w:rsid w:val="007C03D2"/>
    <w:rsid w:val="007C1889"/>
    <w:rsid w:val="007C452E"/>
    <w:rsid w:val="007C4583"/>
    <w:rsid w:val="007C4738"/>
    <w:rsid w:val="007C6413"/>
    <w:rsid w:val="007C7C55"/>
    <w:rsid w:val="007D4C6F"/>
    <w:rsid w:val="007F2A67"/>
    <w:rsid w:val="007F497D"/>
    <w:rsid w:val="007F4F5F"/>
    <w:rsid w:val="007F56A1"/>
    <w:rsid w:val="007F70F1"/>
    <w:rsid w:val="00801E3B"/>
    <w:rsid w:val="008070FE"/>
    <w:rsid w:val="008072A9"/>
    <w:rsid w:val="00807ED1"/>
    <w:rsid w:val="008122D9"/>
    <w:rsid w:val="00812FF0"/>
    <w:rsid w:val="00813D9C"/>
    <w:rsid w:val="0081632A"/>
    <w:rsid w:val="00830C3D"/>
    <w:rsid w:val="00830C7D"/>
    <w:rsid w:val="00835647"/>
    <w:rsid w:val="00837450"/>
    <w:rsid w:val="00840948"/>
    <w:rsid w:val="0084634F"/>
    <w:rsid w:val="00850415"/>
    <w:rsid w:val="008523FD"/>
    <w:rsid w:val="008627A4"/>
    <w:rsid w:val="00864D9E"/>
    <w:rsid w:val="00880C88"/>
    <w:rsid w:val="00883824"/>
    <w:rsid w:val="008847C9"/>
    <w:rsid w:val="008856F8"/>
    <w:rsid w:val="0089050C"/>
    <w:rsid w:val="00893980"/>
    <w:rsid w:val="008977E1"/>
    <w:rsid w:val="00897953"/>
    <w:rsid w:val="008A02F0"/>
    <w:rsid w:val="008A05BA"/>
    <w:rsid w:val="008A2341"/>
    <w:rsid w:val="008A2974"/>
    <w:rsid w:val="008A5157"/>
    <w:rsid w:val="008B0F98"/>
    <w:rsid w:val="008B733D"/>
    <w:rsid w:val="008B7890"/>
    <w:rsid w:val="008C1DC9"/>
    <w:rsid w:val="008C2E3B"/>
    <w:rsid w:val="008D054C"/>
    <w:rsid w:val="008D1FAA"/>
    <w:rsid w:val="008D25CD"/>
    <w:rsid w:val="008D640B"/>
    <w:rsid w:val="008D7679"/>
    <w:rsid w:val="008E09DF"/>
    <w:rsid w:val="008E1727"/>
    <w:rsid w:val="008E6443"/>
    <w:rsid w:val="008F3958"/>
    <w:rsid w:val="008F555A"/>
    <w:rsid w:val="008F5667"/>
    <w:rsid w:val="008F7CD9"/>
    <w:rsid w:val="0090313B"/>
    <w:rsid w:val="00904CF6"/>
    <w:rsid w:val="00906B2C"/>
    <w:rsid w:val="00906D35"/>
    <w:rsid w:val="00910D85"/>
    <w:rsid w:val="00912012"/>
    <w:rsid w:val="009121B4"/>
    <w:rsid w:val="00912AC7"/>
    <w:rsid w:val="00912CD7"/>
    <w:rsid w:val="009137DD"/>
    <w:rsid w:val="00914AE3"/>
    <w:rsid w:val="009153D8"/>
    <w:rsid w:val="00921541"/>
    <w:rsid w:val="009240A3"/>
    <w:rsid w:val="00924648"/>
    <w:rsid w:val="009257AA"/>
    <w:rsid w:val="009336A3"/>
    <w:rsid w:val="009411E8"/>
    <w:rsid w:val="009521B3"/>
    <w:rsid w:val="00952368"/>
    <w:rsid w:val="009523EE"/>
    <w:rsid w:val="009552DB"/>
    <w:rsid w:val="00956AA9"/>
    <w:rsid w:val="00957F45"/>
    <w:rsid w:val="00961278"/>
    <w:rsid w:val="00964D36"/>
    <w:rsid w:val="00965641"/>
    <w:rsid w:val="0097030A"/>
    <w:rsid w:val="00972E93"/>
    <w:rsid w:val="00973A1E"/>
    <w:rsid w:val="00973C5E"/>
    <w:rsid w:val="009805CE"/>
    <w:rsid w:val="009825F4"/>
    <w:rsid w:val="00982C0E"/>
    <w:rsid w:val="00983209"/>
    <w:rsid w:val="0098466D"/>
    <w:rsid w:val="00985949"/>
    <w:rsid w:val="00996636"/>
    <w:rsid w:val="009A137E"/>
    <w:rsid w:val="009A13BB"/>
    <w:rsid w:val="009A1EB2"/>
    <w:rsid w:val="009A2AF4"/>
    <w:rsid w:val="009A4F72"/>
    <w:rsid w:val="009A5563"/>
    <w:rsid w:val="009A5E93"/>
    <w:rsid w:val="009B2BA9"/>
    <w:rsid w:val="009B6C2D"/>
    <w:rsid w:val="009C2370"/>
    <w:rsid w:val="009C41F9"/>
    <w:rsid w:val="009C4393"/>
    <w:rsid w:val="009C5027"/>
    <w:rsid w:val="009C5ED0"/>
    <w:rsid w:val="009D623D"/>
    <w:rsid w:val="009D669B"/>
    <w:rsid w:val="009E3FBA"/>
    <w:rsid w:val="009E6000"/>
    <w:rsid w:val="009E6BF7"/>
    <w:rsid w:val="009E6D0E"/>
    <w:rsid w:val="009F7369"/>
    <w:rsid w:val="00A03F4B"/>
    <w:rsid w:val="00A138C8"/>
    <w:rsid w:val="00A16BC5"/>
    <w:rsid w:val="00A260B5"/>
    <w:rsid w:val="00A33BCF"/>
    <w:rsid w:val="00A40D9F"/>
    <w:rsid w:val="00A43ACC"/>
    <w:rsid w:val="00A471EC"/>
    <w:rsid w:val="00A5149A"/>
    <w:rsid w:val="00A51E79"/>
    <w:rsid w:val="00A55A4B"/>
    <w:rsid w:val="00A602EF"/>
    <w:rsid w:val="00A6115A"/>
    <w:rsid w:val="00A639CB"/>
    <w:rsid w:val="00A63ADB"/>
    <w:rsid w:val="00A647FC"/>
    <w:rsid w:val="00A72B34"/>
    <w:rsid w:val="00A72F40"/>
    <w:rsid w:val="00A737D2"/>
    <w:rsid w:val="00A75CF1"/>
    <w:rsid w:val="00A769A2"/>
    <w:rsid w:val="00A82C97"/>
    <w:rsid w:val="00A836DA"/>
    <w:rsid w:val="00A910E7"/>
    <w:rsid w:val="00A95F2C"/>
    <w:rsid w:val="00A97065"/>
    <w:rsid w:val="00AA208B"/>
    <w:rsid w:val="00AA284F"/>
    <w:rsid w:val="00AA5606"/>
    <w:rsid w:val="00AB08EE"/>
    <w:rsid w:val="00AB3B61"/>
    <w:rsid w:val="00AB6CFF"/>
    <w:rsid w:val="00AC505B"/>
    <w:rsid w:val="00AC523C"/>
    <w:rsid w:val="00AC5E79"/>
    <w:rsid w:val="00AD3C0E"/>
    <w:rsid w:val="00AD50D7"/>
    <w:rsid w:val="00AD71DB"/>
    <w:rsid w:val="00AD795C"/>
    <w:rsid w:val="00AE27BA"/>
    <w:rsid w:val="00AF12AA"/>
    <w:rsid w:val="00AF487C"/>
    <w:rsid w:val="00AF596E"/>
    <w:rsid w:val="00AF5B05"/>
    <w:rsid w:val="00B00240"/>
    <w:rsid w:val="00B03F99"/>
    <w:rsid w:val="00B0583C"/>
    <w:rsid w:val="00B059FA"/>
    <w:rsid w:val="00B10BA1"/>
    <w:rsid w:val="00B17C75"/>
    <w:rsid w:val="00B21809"/>
    <w:rsid w:val="00B277BC"/>
    <w:rsid w:val="00B3033D"/>
    <w:rsid w:val="00B30545"/>
    <w:rsid w:val="00B30A69"/>
    <w:rsid w:val="00B3114F"/>
    <w:rsid w:val="00B34381"/>
    <w:rsid w:val="00B34992"/>
    <w:rsid w:val="00B3645B"/>
    <w:rsid w:val="00B37703"/>
    <w:rsid w:val="00B37C72"/>
    <w:rsid w:val="00B41B72"/>
    <w:rsid w:val="00B432CB"/>
    <w:rsid w:val="00B47952"/>
    <w:rsid w:val="00B55A9A"/>
    <w:rsid w:val="00B56E2C"/>
    <w:rsid w:val="00B5741D"/>
    <w:rsid w:val="00B6294F"/>
    <w:rsid w:val="00B7002C"/>
    <w:rsid w:val="00B73981"/>
    <w:rsid w:val="00B74FAE"/>
    <w:rsid w:val="00B759A1"/>
    <w:rsid w:val="00B772E1"/>
    <w:rsid w:val="00B8216F"/>
    <w:rsid w:val="00B85C19"/>
    <w:rsid w:val="00B85D6A"/>
    <w:rsid w:val="00B8703D"/>
    <w:rsid w:val="00B87135"/>
    <w:rsid w:val="00B90CF6"/>
    <w:rsid w:val="00B90FFB"/>
    <w:rsid w:val="00B9194A"/>
    <w:rsid w:val="00BA2EAA"/>
    <w:rsid w:val="00BB52FE"/>
    <w:rsid w:val="00BB6FDE"/>
    <w:rsid w:val="00BC2975"/>
    <w:rsid w:val="00BC2E71"/>
    <w:rsid w:val="00BC3138"/>
    <w:rsid w:val="00BC5089"/>
    <w:rsid w:val="00BC547A"/>
    <w:rsid w:val="00BC56DB"/>
    <w:rsid w:val="00BE067D"/>
    <w:rsid w:val="00BE06EF"/>
    <w:rsid w:val="00BE158C"/>
    <w:rsid w:val="00BE2416"/>
    <w:rsid w:val="00BE38F4"/>
    <w:rsid w:val="00BE43A1"/>
    <w:rsid w:val="00BE6C3B"/>
    <w:rsid w:val="00BE70C4"/>
    <w:rsid w:val="00BF0483"/>
    <w:rsid w:val="00BF0CE7"/>
    <w:rsid w:val="00BF5EA6"/>
    <w:rsid w:val="00BF7C00"/>
    <w:rsid w:val="00C06E6B"/>
    <w:rsid w:val="00C11AB5"/>
    <w:rsid w:val="00C12CB2"/>
    <w:rsid w:val="00C145F5"/>
    <w:rsid w:val="00C14CAD"/>
    <w:rsid w:val="00C14F12"/>
    <w:rsid w:val="00C162FC"/>
    <w:rsid w:val="00C16BEC"/>
    <w:rsid w:val="00C21EDF"/>
    <w:rsid w:val="00C23A4A"/>
    <w:rsid w:val="00C26267"/>
    <w:rsid w:val="00C30153"/>
    <w:rsid w:val="00C45B2B"/>
    <w:rsid w:val="00C524BC"/>
    <w:rsid w:val="00C646AD"/>
    <w:rsid w:val="00C66909"/>
    <w:rsid w:val="00C70B5A"/>
    <w:rsid w:val="00C764AE"/>
    <w:rsid w:val="00C8377C"/>
    <w:rsid w:val="00C86927"/>
    <w:rsid w:val="00C931FA"/>
    <w:rsid w:val="00C9365D"/>
    <w:rsid w:val="00C97402"/>
    <w:rsid w:val="00CB0737"/>
    <w:rsid w:val="00CB1878"/>
    <w:rsid w:val="00CB5031"/>
    <w:rsid w:val="00CB5746"/>
    <w:rsid w:val="00CB7D89"/>
    <w:rsid w:val="00CC3317"/>
    <w:rsid w:val="00CC45A7"/>
    <w:rsid w:val="00CE4BEC"/>
    <w:rsid w:val="00CE6F84"/>
    <w:rsid w:val="00CE7A78"/>
    <w:rsid w:val="00CE7A94"/>
    <w:rsid w:val="00CE7D3F"/>
    <w:rsid w:val="00CF22C8"/>
    <w:rsid w:val="00CF3D90"/>
    <w:rsid w:val="00CF4915"/>
    <w:rsid w:val="00D00253"/>
    <w:rsid w:val="00D148D5"/>
    <w:rsid w:val="00D20120"/>
    <w:rsid w:val="00D22220"/>
    <w:rsid w:val="00D225F2"/>
    <w:rsid w:val="00D23C6B"/>
    <w:rsid w:val="00D342B4"/>
    <w:rsid w:val="00D36548"/>
    <w:rsid w:val="00D4089B"/>
    <w:rsid w:val="00D40C0E"/>
    <w:rsid w:val="00D41828"/>
    <w:rsid w:val="00D44169"/>
    <w:rsid w:val="00D44C7F"/>
    <w:rsid w:val="00D5664E"/>
    <w:rsid w:val="00D63CEB"/>
    <w:rsid w:val="00D66E4C"/>
    <w:rsid w:val="00D67914"/>
    <w:rsid w:val="00D701DA"/>
    <w:rsid w:val="00D7621A"/>
    <w:rsid w:val="00D76F40"/>
    <w:rsid w:val="00D85B2F"/>
    <w:rsid w:val="00D865C8"/>
    <w:rsid w:val="00D955E1"/>
    <w:rsid w:val="00D96CD0"/>
    <w:rsid w:val="00DA01CE"/>
    <w:rsid w:val="00DA185C"/>
    <w:rsid w:val="00DA1E06"/>
    <w:rsid w:val="00DA264D"/>
    <w:rsid w:val="00DB10A5"/>
    <w:rsid w:val="00DB1D39"/>
    <w:rsid w:val="00DB4407"/>
    <w:rsid w:val="00DB52B3"/>
    <w:rsid w:val="00DC1885"/>
    <w:rsid w:val="00DC1A87"/>
    <w:rsid w:val="00DC60CE"/>
    <w:rsid w:val="00DC64CB"/>
    <w:rsid w:val="00DC6A04"/>
    <w:rsid w:val="00DD2272"/>
    <w:rsid w:val="00DD2A2E"/>
    <w:rsid w:val="00DD5531"/>
    <w:rsid w:val="00DD5C1E"/>
    <w:rsid w:val="00DD602F"/>
    <w:rsid w:val="00DD7350"/>
    <w:rsid w:val="00DF7FCE"/>
    <w:rsid w:val="00E0280A"/>
    <w:rsid w:val="00E02DE8"/>
    <w:rsid w:val="00E03894"/>
    <w:rsid w:val="00E07E1A"/>
    <w:rsid w:val="00E13C53"/>
    <w:rsid w:val="00E2212F"/>
    <w:rsid w:val="00E22820"/>
    <w:rsid w:val="00E25C2D"/>
    <w:rsid w:val="00E319AA"/>
    <w:rsid w:val="00E31DBA"/>
    <w:rsid w:val="00E32B99"/>
    <w:rsid w:val="00E35804"/>
    <w:rsid w:val="00E359DE"/>
    <w:rsid w:val="00E3797A"/>
    <w:rsid w:val="00E42817"/>
    <w:rsid w:val="00E45D52"/>
    <w:rsid w:val="00E557FE"/>
    <w:rsid w:val="00E56233"/>
    <w:rsid w:val="00E6090F"/>
    <w:rsid w:val="00E60EF1"/>
    <w:rsid w:val="00E61E40"/>
    <w:rsid w:val="00E6267B"/>
    <w:rsid w:val="00E6434F"/>
    <w:rsid w:val="00E71553"/>
    <w:rsid w:val="00E73DB1"/>
    <w:rsid w:val="00E760A0"/>
    <w:rsid w:val="00E76DBB"/>
    <w:rsid w:val="00E878EA"/>
    <w:rsid w:val="00E94FD6"/>
    <w:rsid w:val="00EA08EF"/>
    <w:rsid w:val="00EA2255"/>
    <w:rsid w:val="00EA401A"/>
    <w:rsid w:val="00EA4D14"/>
    <w:rsid w:val="00EB3FB5"/>
    <w:rsid w:val="00EB4AAF"/>
    <w:rsid w:val="00EB5977"/>
    <w:rsid w:val="00EB6273"/>
    <w:rsid w:val="00EB7B13"/>
    <w:rsid w:val="00EC0541"/>
    <w:rsid w:val="00EC4D2A"/>
    <w:rsid w:val="00ED36C5"/>
    <w:rsid w:val="00ED4FF5"/>
    <w:rsid w:val="00ED5C27"/>
    <w:rsid w:val="00ED5E06"/>
    <w:rsid w:val="00ED6607"/>
    <w:rsid w:val="00EE26C7"/>
    <w:rsid w:val="00EE2CEB"/>
    <w:rsid w:val="00EE689F"/>
    <w:rsid w:val="00EF0D2B"/>
    <w:rsid w:val="00EF4E2D"/>
    <w:rsid w:val="00F02384"/>
    <w:rsid w:val="00F03017"/>
    <w:rsid w:val="00F06279"/>
    <w:rsid w:val="00F10A19"/>
    <w:rsid w:val="00F13138"/>
    <w:rsid w:val="00F1550F"/>
    <w:rsid w:val="00F217B9"/>
    <w:rsid w:val="00F24238"/>
    <w:rsid w:val="00F2435F"/>
    <w:rsid w:val="00F26301"/>
    <w:rsid w:val="00F27BDC"/>
    <w:rsid w:val="00F30FEE"/>
    <w:rsid w:val="00F330C8"/>
    <w:rsid w:val="00F33831"/>
    <w:rsid w:val="00F3396F"/>
    <w:rsid w:val="00F35DF5"/>
    <w:rsid w:val="00F40E50"/>
    <w:rsid w:val="00F41BE6"/>
    <w:rsid w:val="00F41D61"/>
    <w:rsid w:val="00F4652C"/>
    <w:rsid w:val="00F46549"/>
    <w:rsid w:val="00F47A48"/>
    <w:rsid w:val="00F47AC7"/>
    <w:rsid w:val="00F47C10"/>
    <w:rsid w:val="00F517B8"/>
    <w:rsid w:val="00F529EE"/>
    <w:rsid w:val="00F552DB"/>
    <w:rsid w:val="00F57863"/>
    <w:rsid w:val="00F613BB"/>
    <w:rsid w:val="00F6378D"/>
    <w:rsid w:val="00F70D39"/>
    <w:rsid w:val="00F70DF7"/>
    <w:rsid w:val="00F72138"/>
    <w:rsid w:val="00F763D5"/>
    <w:rsid w:val="00F80B47"/>
    <w:rsid w:val="00F83D19"/>
    <w:rsid w:val="00F91839"/>
    <w:rsid w:val="00F94496"/>
    <w:rsid w:val="00F950B6"/>
    <w:rsid w:val="00F95E78"/>
    <w:rsid w:val="00F968E5"/>
    <w:rsid w:val="00F96D16"/>
    <w:rsid w:val="00FA3C55"/>
    <w:rsid w:val="00FA5793"/>
    <w:rsid w:val="00FB182E"/>
    <w:rsid w:val="00FB3669"/>
    <w:rsid w:val="00FB7763"/>
    <w:rsid w:val="00FC46A2"/>
    <w:rsid w:val="00FC6D94"/>
    <w:rsid w:val="00FD200C"/>
    <w:rsid w:val="00FD746A"/>
    <w:rsid w:val="00FD7985"/>
    <w:rsid w:val="00FE2C5F"/>
    <w:rsid w:val="00FE3566"/>
    <w:rsid w:val="00FE3943"/>
    <w:rsid w:val="00FE574B"/>
    <w:rsid w:val="00FF109D"/>
    <w:rsid w:val="00FF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D4FF5"/>
    <w:pPr>
      <w:tabs>
        <w:tab w:val="center" w:pos="4320"/>
        <w:tab w:val="right" w:pos="8640"/>
      </w:tabs>
    </w:pPr>
  </w:style>
  <w:style w:type="paragraph" w:styleId="Footer">
    <w:name w:val="footer"/>
    <w:basedOn w:val="Normal"/>
    <w:rsid w:val="00ED4FF5"/>
    <w:pPr>
      <w:tabs>
        <w:tab w:val="center" w:pos="4320"/>
        <w:tab w:val="right" w:pos="8640"/>
      </w:tabs>
    </w:pPr>
  </w:style>
  <w:style w:type="character" w:styleId="PageNumber">
    <w:name w:val="page number"/>
    <w:basedOn w:val="DefaultParagraphFont"/>
    <w:rsid w:val="00E6090F"/>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8F3958"/>
    <w:pPr>
      <w:spacing w:after="160" w:line="240" w:lineRule="exact"/>
    </w:pPr>
    <w:rPr>
      <w:rFonts w:ascii="Tahoma" w:hAnsi="Tahoma"/>
      <w:sz w:val="20"/>
      <w:szCs w:val="20"/>
    </w:rPr>
  </w:style>
  <w:style w:type="paragraph" w:styleId="BalloonText">
    <w:name w:val="Balloon Text"/>
    <w:basedOn w:val="Normal"/>
    <w:semiHidden/>
    <w:rsid w:val="00910D85"/>
    <w:rPr>
      <w:rFonts w:ascii="Tahoma" w:hAnsi="Tahoma" w:cs="Tahoma"/>
      <w:sz w:val="16"/>
      <w:szCs w:val="16"/>
    </w:rPr>
  </w:style>
  <w:style w:type="paragraph" w:customStyle="1" w:styleId="Normal1">
    <w:name w:val="Normal1"/>
    <w:basedOn w:val="Normal"/>
    <w:next w:val="Normal"/>
    <w:autoRedefine/>
    <w:semiHidden/>
    <w:rsid w:val="00924648"/>
    <w:pPr>
      <w:spacing w:before="120" w:after="120" w:line="312" w:lineRule="auto"/>
    </w:pPr>
  </w:style>
  <w:style w:type="paragraph" w:styleId="NormalWeb">
    <w:name w:val="Normal (Web)"/>
    <w:basedOn w:val="Normal"/>
    <w:uiPriority w:val="99"/>
    <w:unhideWhenUsed/>
    <w:rsid w:val="008847C9"/>
    <w:pPr>
      <w:spacing w:before="100" w:beforeAutospacing="1" w:after="100" w:afterAutospacing="1"/>
    </w:pPr>
    <w:rPr>
      <w:sz w:val="24"/>
      <w:szCs w:val="24"/>
      <w:lang w:val="vi-VN" w:eastAsia="vi-VN"/>
    </w:rPr>
  </w:style>
  <w:style w:type="character" w:customStyle="1" w:styleId="HeaderChar">
    <w:name w:val="Header Char"/>
    <w:link w:val="Header"/>
    <w:uiPriority w:val="99"/>
    <w:rsid w:val="00092EA6"/>
    <w:rPr>
      <w:sz w:val="28"/>
      <w:szCs w:val="28"/>
    </w:rPr>
  </w:style>
  <w:style w:type="paragraph" w:styleId="FootnoteText">
    <w:name w:val="footnote text"/>
    <w:basedOn w:val="Normal"/>
    <w:link w:val="FootnoteTextChar"/>
    <w:rsid w:val="00EF4E2D"/>
    <w:rPr>
      <w:sz w:val="20"/>
      <w:szCs w:val="20"/>
    </w:rPr>
  </w:style>
  <w:style w:type="character" w:customStyle="1" w:styleId="FootnoteTextChar">
    <w:name w:val="Footnote Text Char"/>
    <w:basedOn w:val="DefaultParagraphFont"/>
    <w:link w:val="FootnoteText"/>
    <w:rsid w:val="00EF4E2D"/>
  </w:style>
  <w:style w:type="character" w:styleId="FootnoteReference">
    <w:name w:val="footnote reference"/>
    <w:basedOn w:val="DefaultParagraphFont"/>
    <w:rsid w:val="00EF4E2D"/>
    <w:rPr>
      <w:vertAlign w:val="superscript"/>
    </w:rPr>
  </w:style>
  <w:style w:type="paragraph" w:styleId="ListParagraph">
    <w:name w:val="List Paragraph"/>
    <w:basedOn w:val="Normal"/>
    <w:uiPriority w:val="34"/>
    <w:qFormat/>
    <w:rsid w:val="00862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D4FF5"/>
    <w:pPr>
      <w:tabs>
        <w:tab w:val="center" w:pos="4320"/>
        <w:tab w:val="right" w:pos="8640"/>
      </w:tabs>
    </w:pPr>
  </w:style>
  <w:style w:type="paragraph" w:styleId="Footer">
    <w:name w:val="footer"/>
    <w:basedOn w:val="Normal"/>
    <w:rsid w:val="00ED4FF5"/>
    <w:pPr>
      <w:tabs>
        <w:tab w:val="center" w:pos="4320"/>
        <w:tab w:val="right" w:pos="8640"/>
      </w:tabs>
    </w:pPr>
  </w:style>
  <w:style w:type="character" w:styleId="PageNumber">
    <w:name w:val="page number"/>
    <w:basedOn w:val="DefaultParagraphFont"/>
    <w:rsid w:val="00E6090F"/>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8F3958"/>
    <w:pPr>
      <w:spacing w:after="160" w:line="240" w:lineRule="exact"/>
    </w:pPr>
    <w:rPr>
      <w:rFonts w:ascii="Tahoma" w:hAnsi="Tahoma"/>
      <w:sz w:val="20"/>
      <w:szCs w:val="20"/>
    </w:rPr>
  </w:style>
  <w:style w:type="paragraph" w:styleId="BalloonText">
    <w:name w:val="Balloon Text"/>
    <w:basedOn w:val="Normal"/>
    <w:semiHidden/>
    <w:rsid w:val="00910D85"/>
    <w:rPr>
      <w:rFonts w:ascii="Tahoma" w:hAnsi="Tahoma" w:cs="Tahoma"/>
      <w:sz w:val="16"/>
      <w:szCs w:val="16"/>
    </w:rPr>
  </w:style>
  <w:style w:type="paragraph" w:customStyle="1" w:styleId="Normal1">
    <w:name w:val="Normal1"/>
    <w:basedOn w:val="Normal"/>
    <w:next w:val="Normal"/>
    <w:autoRedefine/>
    <w:semiHidden/>
    <w:rsid w:val="00924648"/>
    <w:pPr>
      <w:spacing w:before="120" w:after="120" w:line="312" w:lineRule="auto"/>
    </w:pPr>
  </w:style>
  <w:style w:type="paragraph" w:styleId="NormalWeb">
    <w:name w:val="Normal (Web)"/>
    <w:basedOn w:val="Normal"/>
    <w:uiPriority w:val="99"/>
    <w:unhideWhenUsed/>
    <w:rsid w:val="008847C9"/>
    <w:pPr>
      <w:spacing w:before="100" w:beforeAutospacing="1" w:after="100" w:afterAutospacing="1"/>
    </w:pPr>
    <w:rPr>
      <w:sz w:val="24"/>
      <w:szCs w:val="24"/>
      <w:lang w:val="vi-VN" w:eastAsia="vi-VN"/>
    </w:rPr>
  </w:style>
  <w:style w:type="character" w:customStyle="1" w:styleId="HeaderChar">
    <w:name w:val="Header Char"/>
    <w:link w:val="Header"/>
    <w:uiPriority w:val="99"/>
    <w:rsid w:val="00092EA6"/>
    <w:rPr>
      <w:sz w:val="28"/>
      <w:szCs w:val="28"/>
    </w:rPr>
  </w:style>
  <w:style w:type="paragraph" w:styleId="FootnoteText">
    <w:name w:val="footnote text"/>
    <w:basedOn w:val="Normal"/>
    <w:link w:val="FootnoteTextChar"/>
    <w:rsid w:val="00EF4E2D"/>
    <w:rPr>
      <w:sz w:val="20"/>
      <w:szCs w:val="20"/>
    </w:rPr>
  </w:style>
  <w:style w:type="character" w:customStyle="1" w:styleId="FootnoteTextChar">
    <w:name w:val="Footnote Text Char"/>
    <w:basedOn w:val="DefaultParagraphFont"/>
    <w:link w:val="FootnoteText"/>
    <w:rsid w:val="00EF4E2D"/>
  </w:style>
  <w:style w:type="character" w:styleId="FootnoteReference">
    <w:name w:val="footnote reference"/>
    <w:basedOn w:val="DefaultParagraphFont"/>
    <w:rsid w:val="00EF4E2D"/>
    <w:rPr>
      <w:vertAlign w:val="superscript"/>
    </w:rPr>
  </w:style>
  <w:style w:type="paragraph" w:styleId="ListParagraph">
    <w:name w:val="List Paragraph"/>
    <w:basedOn w:val="Normal"/>
    <w:uiPriority w:val="34"/>
    <w:qFormat/>
    <w:rsid w:val="0086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1385">
      <w:bodyDiv w:val="1"/>
      <w:marLeft w:val="0"/>
      <w:marRight w:val="0"/>
      <w:marTop w:val="0"/>
      <w:marBottom w:val="0"/>
      <w:divBdr>
        <w:top w:val="none" w:sz="0" w:space="0" w:color="auto"/>
        <w:left w:val="none" w:sz="0" w:space="0" w:color="auto"/>
        <w:bottom w:val="none" w:sz="0" w:space="0" w:color="auto"/>
        <w:right w:val="none" w:sz="0" w:space="0" w:color="auto"/>
      </w:divBdr>
    </w:div>
    <w:div w:id="979532396">
      <w:bodyDiv w:val="1"/>
      <w:marLeft w:val="0"/>
      <w:marRight w:val="0"/>
      <w:marTop w:val="0"/>
      <w:marBottom w:val="0"/>
      <w:divBdr>
        <w:top w:val="none" w:sz="0" w:space="0" w:color="auto"/>
        <w:left w:val="none" w:sz="0" w:space="0" w:color="auto"/>
        <w:bottom w:val="none" w:sz="0" w:space="0" w:color="auto"/>
        <w:right w:val="none" w:sz="0" w:space="0" w:color="auto"/>
      </w:divBdr>
    </w:div>
    <w:div w:id="1251625806">
      <w:bodyDiv w:val="1"/>
      <w:marLeft w:val="0"/>
      <w:marRight w:val="0"/>
      <w:marTop w:val="0"/>
      <w:marBottom w:val="0"/>
      <w:divBdr>
        <w:top w:val="none" w:sz="0" w:space="0" w:color="auto"/>
        <w:left w:val="none" w:sz="0" w:space="0" w:color="auto"/>
        <w:bottom w:val="none" w:sz="0" w:space="0" w:color="auto"/>
        <w:right w:val="none" w:sz="0" w:space="0" w:color="auto"/>
      </w:divBdr>
    </w:div>
    <w:div w:id="1766537335">
      <w:bodyDiv w:val="1"/>
      <w:marLeft w:val="0"/>
      <w:marRight w:val="0"/>
      <w:marTop w:val="0"/>
      <w:marBottom w:val="0"/>
      <w:divBdr>
        <w:top w:val="none" w:sz="0" w:space="0" w:color="auto"/>
        <w:left w:val="none" w:sz="0" w:space="0" w:color="auto"/>
        <w:bottom w:val="none" w:sz="0" w:space="0" w:color="auto"/>
        <w:right w:val="none" w:sz="0" w:space="0" w:color="auto"/>
      </w:divBdr>
    </w:div>
    <w:div w:id="1875850565">
      <w:bodyDiv w:val="1"/>
      <w:marLeft w:val="0"/>
      <w:marRight w:val="0"/>
      <w:marTop w:val="0"/>
      <w:marBottom w:val="0"/>
      <w:divBdr>
        <w:top w:val="none" w:sz="0" w:space="0" w:color="auto"/>
        <w:left w:val="none" w:sz="0" w:space="0" w:color="auto"/>
        <w:bottom w:val="none" w:sz="0" w:space="0" w:color="auto"/>
        <w:right w:val="none" w:sz="0" w:space="0" w:color="auto"/>
      </w:divBdr>
    </w:div>
    <w:div w:id="20938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074C-19EA-475D-BD36-45871765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tØnh  VÜnh Phóc</vt:lpstr>
    </vt:vector>
  </TitlesOfParts>
  <Company>http://gostep.info</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dc:title>
  <dc:creator>admin</dc:creator>
  <cp:lastModifiedBy>Windows User</cp:lastModifiedBy>
  <cp:revision>2</cp:revision>
  <cp:lastPrinted>2019-07-18T00:35:00Z</cp:lastPrinted>
  <dcterms:created xsi:type="dcterms:W3CDTF">2024-02-23T02:04:00Z</dcterms:created>
  <dcterms:modified xsi:type="dcterms:W3CDTF">2024-02-23T02:04:00Z</dcterms:modified>
</cp:coreProperties>
</file>